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C0AF" w14:textId="77777777" w:rsidR="007F3C90" w:rsidRDefault="007F3C90" w:rsidP="007F3C90">
      <w:pPr>
        <w:rPr>
          <w:sz w:val="2"/>
        </w:rPr>
      </w:pPr>
    </w:p>
    <w:p w14:paraId="1E4CE9AB" w14:textId="77777777" w:rsidR="007F3C90" w:rsidRDefault="007F3C90" w:rsidP="007F3C90">
      <w:pPr>
        <w:rPr>
          <w:sz w:val="2"/>
        </w:rPr>
      </w:pPr>
    </w:p>
    <w:p w14:paraId="07AD14C6" w14:textId="77777777" w:rsidR="007F3C90" w:rsidRDefault="007F3C90" w:rsidP="007F3C90">
      <w:pPr>
        <w:rPr>
          <w:sz w:val="2"/>
        </w:rPr>
      </w:pPr>
    </w:p>
    <w:p w14:paraId="1602A6A1" w14:textId="77777777" w:rsidR="007F3C90" w:rsidRDefault="007F3C90" w:rsidP="007F3C90">
      <w:pPr>
        <w:rPr>
          <w:sz w:val="2"/>
        </w:rPr>
      </w:pPr>
    </w:p>
    <w:p w14:paraId="7EBF38E3" w14:textId="77777777" w:rsidR="007F3C90" w:rsidRDefault="007F3C90" w:rsidP="007F3C90">
      <w:pPr>
        <w:rPr>
          <w:sz w:val="2"/>
        </w:rPr>
      </w:pPr>
    </w:p>
    <w:p w14:paraId="08F66AD5" w14:textId="77777777" w:rsidR="007F3C90" w:rsidRDefault="007F3C90" w:rsidP="007F3C90">
      <w:pPr>
        <w:rPr>
          <w:sz w:val="2"/>
        </w:rPr>
      </w:pPr>
    </w:p>
    <w:p w14:paraId="706D2559" w14:textId="77777777" w:rsidR="007F3C90" w:rsidRDefault="007F3C90" w:rsidP="007F3C90">
      <w:pPr>
        <w:rPr>
          <w:sz w:val="2"/>
        </w:rPr>
      </w:pPr>
      <w:r w:rsidRPr="00911237">
        <w:rPr>
          <w:sz w:val="2"/>
        </w:rPr>
        <w:t xml:space="preserve"> </w:t>
      </w:r>
    </w:p>
    <w:p w14:paraId="263EBB79" w14:textId="77777777" w:rsidR="007F3C90" w:rsidRDefault="007F3C90" w:rsidP="007F3C90">
      <w:pPr>
        <w:rPr>
          <w:sz w:val="2"/>
        </w:rPr>
      </w:pPr>
    </w:p>
    <w:p w14:paraId="4FAAD969" w14:textId="77777777" w:rsidR="007F3C90" w:rsidRDefault="007F3C90" w:rsidP="007F3C90">
      <w:pPr>
        <w:rPr>
          <w:sz w:val="2"/>
        </w:rPr>
      </w:pPr>
    </w:p>
    <w:p w14:paraId="686383C8" w14:textId="77777777" w:rsidR="007F3C90" w:rsidRDefault="007F3C90" w:rsidP="007F3C90">
      <w:pPr>
        <w:rPr>
          <w:sz w:val="2"/>
        </w:rPr>
      </w:pPr>
    </w:p>
    <w:p w14:paraId="4CC38C69" w14:textId="77777777" w:rsidR="007F3C90" w:rsidRDefault="007F3C90" w:rsidP="007F3C90">
      <w:pPr>
        <w:rPr>
          <w:sz w:val="2"/>
        </w:rPr>
      </w:pPr>
    </w:p>
    <w:p w14:paraId="04EE828C" w14:textId="77777777" w:rsidR="007F3C90" w:rsidRDefault="007F3C90" w:rsidP="007F3C90">
      <w:pPr>
        <w:rPr>
          <w:sz w:val="2"/>
        </w:rPr>
      </w:pPr>
    </w:p>
    <w:p w14:paraId="4D12E5A3" w14:textId="77777777" w:rsidR="007F3C90" w:rsidRDefault="007F3C90" w:rsidP="007F3C90">
      <w:pPr>
        <w:rPr>
          <w:sz w:val="2"/>
        </w:rPr>
      </w:pPr>
    </w:p>
    <w:p w14:paraId="69008191" w14:textId="77777777" w:rsidR="007F3C90" w:rsidRDefault="007F3C90" w:rsidP="007F3C90">
      <w:pPr>
        <w:rPr>
          <w:sz w:val="2"/>
        </w:rPr>
      </w:pPr>
    </w:p>
    <w:p w14:paraId="53779255" w14:textId="77777777" w:rsidR="007F3C90" w:rsidRDefault="007F3C90" w:rsidP="007F3C90">
      <w:pPr>
        <w:rPr>
          <w:sz w:val="2"/>
        </w:rPr>
      </w:pPr>
    </w:p>
    <w:p w14:paraId="2D35ADFB" w14:textId="77777777" w:rsidR="007F3C90" w:rsidRDefault="007F3C90" w:rsidP="007F3C90">
      <w:pPr>
        <w:rPr>
          <w:sz w:val="2"/>
        </w:rPr>
      </w:pPr>
    </w:p>
    <w:p w14:paraId="7F604D9F" w14:textId="77777777" w:rsidR="007F3C90" w:rsidRDefault="007F3C90" w:rsidP="007F3C90">
      <w:pPr>
        <w:rPr>
          <w:sz w:val="2"/>
        </w:rPr>
      </w:pPr>
    </w:p>
    <w:p w14:paraId="2C8ECBFE" w14:textId="77777777" w:rsidR="007F3C90" w:rsidRDefault="007F3C90" w:rsidP="007F3C90">
      <w:pPr>
        <w:rPr>
          <w:sz w:val="2"/>
        </w:rPr>
      </w:pPr>
    </w:p>
    <w:p w14:paraId="7D34933B" w14:textId="77777777" w:rsidR="007F3C90" w:rsidRDefault="007F3C90" w:rsidP="007F3C90">
      <w:pPr>
        <w:rPr>
          <w:sz w:val="2"/>
        </w:rPr>
      </w:pPr>
    </w:p>
    <w:p w14:paraId="650134F8" w14:textId="77777777" w:rsidR="007F3C90" w:rsidRDefault="007F3C90" w:rsidP="007F3C90">
      <w:pPr>
        <w:rPr>
          <w:sz w:val="2"/>
        </w:rPr>
      </w:pPr>
    </w:p>
    <w:p w14:paraId="7A59F5B7" w14:textId="77777777" w:rsidR="007F3C90" w:rsidRPr="00911237" w:rsidRDefault="007F3C90" w:rsidP="007F3C90">
      <w:pPr>
        <w:rPr>
          <w:sz w:val="2"/>
        </w:rPr>
      </w:pPr>
    </w:p>
    <w:tbl>
      <w:tblPr>
        <w:tblW w:w="4933" w:type="pct"/>
        <w:tblLayout w:type="fixed"/>
        <w:tblCellMar>
          <w:left w:w="0" w:type="dxa"/>
          <w:right w:w="0" w:type="dxa"/>
        </w:tblCellMar>
        <w:tblLook w:val="0000" w:firstRow="0" w:lastRow="0" w:firstColumn="0" w:lastColumn="0" w:noHBand="0" w:noVBand="0"/>
      </w:tblPr>
      <w:tblGrid>
        <w:gridCol w:w="8524"/>
      </w:tblGrid>
      <w:tr w:rsidR="007F3C90" w14:paraId="3F94368F" w14:textId="77777777" w:rsidTr="000051FE">
        <w:trPr>
          <w:cantSplit/>
          <w:trHeight w:hRule="exact" w:val="1816"/>
        </w:trPr>
        <w:tc>
          <w:tcPr>
            <w:tcW w:w="9454" w:type="dxa"/>
            <w:shd w:val="clear" w:color="auto" w:fill="auto"/>
            <w:vAlign w:val="center"/>
          </w:tcPr>
          <w:p w14:paraId="683475B3" w14:textId="77777777" w:rsidR="007F3C90" w:rsidRPr="00F25D95" w:rsidRDefault="007F3C90" w:rsidP="000051FE">
            <w:pPr>
              <w:pStyle w:val="DNVGL-Cover-ReportTitle"/>
            </w:pPr>
            <w:r>
              <w:rPr>
                <w:rFonts w:hint="eastAsia"/>
                <w:sz w:val="40"/>
                <w:szCs w:val="40"/>
              </w:rPr>
              <w:t>P</w:t>
            </w:r>
            <w:r>
              <w:rPr>
                <w:sz w:val="40"/>
                <w:szCs w:val="40"/>
              </w:rPr>
              <w:t xml:space="preserve">roposal of </w:t>
            </w:r>
            <w:r w:rsidRPr="007F3C90">
              <w:rPr>
                <w:sz w:val="40"/>
                <w:szCs w:val="40"/>
              </w:rPr>
              <w:t>New</w:t>
            </w:r>
            <w:r>
              <w:rPr>
                <w:sz w:val="40"/>
                <w:szCs w:val="40"/>
              </w:rPr>
              <w:t xml:space="preserve"> </w:t>
            </w:r>
            <w:r w:rsidRPr="007F3C90">
              <w:rPr>
                <w:sz w:val="40"/>
                <w:szCs w:val="40"/>
              </w:rPr>
              <w:t>energy</w:t>
            </w:r>
            <w:r>
              <w:rPr>
                <w:sz w:val="40"/>
                <w:szCs w:val="40"/>
              </w:rPr>
              <w:t xml:space="preserve"> </w:t>
            </w:r>
            <w:r w:rsidRPr="007F3C90">
              <w:rPr>
                <w:sz w:val="40"/>
                <w:szCs w:val="40"/>
              </w:rPr>
              <w:t>value</w:t>
            </w:r>
            <w:r>
              <w:rPr>
                <w:sz w:val="40"/>
                <w:szCs w:val="40"/>
              </w:rPr>
              <w:t xml:space="preserve"> </w:t>
            </w:r>
            <w:r w:rsidRPr="007F3C90">
              <w:rPr>
                <w:sz w:val="40"/>
                <w:szCs w:val="40"/>
              </w:rPr>
              <w:t>chains</w:t>
            </w:r>
            <w:r>
              <w:rPr>
                <w:sz w:val="40"/>
                <w:szCs w:val="40"/>
              </w:rPr>
              <w:t xml:space="preserve"> </w:t>
            </w:r>
            <w:r w:rsidRPr="007F3C90">
              <w:rPr>
                <w:sz w:val="40"/>
                <w:szCs w:val="40"/>
              </w:rPr>
              <w:t>position</w:t>
            </w:r>
            <w:r>
              <w:rPr>
                <w:sz w:val="40"/>
                <w:szCs w:val="40"/>
              </w:rPr>
              <w:t xml:space="preserve"> </w:t>
            </w:r>
            <w:r w:rsidRPr="007F3C90">
              <w:rPr>
                <w:sz w:val="40"/>
                <w:szCs w:val="40"/>
              </w:rPr>
              <w:t>p</w:t>
            </w:r>
            <w:r>
              <w:rPr>
                <w:sz w:val="40"/>
                <w:szCs w:val="40"/>
              </w:rPr>
              <w:t>resentation</w:t>
            </w:r>
          </w:p>
        </w:tc>
      </w:tr>
      <w:tr w:rsidR="007F3C90" w14:paraId="4908299A" w14:textId="77777777" w:rsidTr="000051FE">
        <w:trPr>
          <w:cantSplit/>
          <w:trHeight w:val="3868"/>
        </w:trPr>
        <w:tc>
          <w:tcPr>
            <w:tcW w:w="9454" w:type="dxa"/>
            <w:shd w:val="clear" w:color="auto" w:fill="auto"/>
          </w:tcPr>
          <w:p w14:paraId="33FDE052" w14:textId="77777777" w:rsidR="007F3C90" w:rsidRDefault="007F3C90" w:rsidP="000051FE">
            <w:pPr>
              <w:pStyle w:val="DNVGL-Details"/>
            </w:pPr>
          </w:p>
          <w:p w14:paraId="2D93717F" w14:textId="77777777" w:rsidR="007F3C90" w:rsidRPr="00D8223D" w:rsidRDefault="007F3C90" w:rsidP="000051FE">
            <w:pPr>
              <w:pStyle w:val="DNVGL-Details"/>
            </w:pPr>
          </w:p>
          <w:p w14:paraId="484CF4D8" w14:textId="77777777" w:rsidR="007F3C90" w:rsidRDefault="007F3C90" w:rsidP="000051FE">
            <w:pPr>
              <w:pStyle w:val="DNVGL-Details"/>
              <w:rPr>
                <w:noProof w:val="0"/>
              </w:rPr>
            </w:pPr>
          </w:p>
          <w:p w14:paraId="4B59CDB2" w14:textId="74D42864" w:rsidR="007F3C90" w:rsidRDefault="007A5A39" w:rsidP="000051FE">
            <w:pPr>
              <w:pStyle w:val="DNVGL-Cover-Company"/>
              <w:rPr>
                <w:sz w:val="16"/>
                <w:szCs w:val="16"/>
              </w:rPr>
            </w:pPr>
            <w:sdt>
              <w:sdtPr>
                <w:rPr>
                  <w:rFonts w:hint="eastAsia"/>
                  <w:sz w:val="16"/>
                  <w:szCs w:val="16"/>
                </w:rPr>
                <w:alias w:val="DNV GL Legal Entity"/>
                <w:tag w:val="DgDNVLegalEntity01"/>
                <w:id w:val="-1108801348"/>
                <w:placeholder>
                  <w:docPart w:val="9CFCE56FBA454B25B21F72AE40D618B9"/>
                </w:placeholder>
                <w:dataBinding w:xpath="//Tag[@name='DgDNVLegalEntity01']" w:storeItemID="{3868A9D6-3BC4-4250-8DBA-6BAB9B53D4E8}"/>
                <w:text w:multiLine="1"/>
              </w:sdtPr>
              <w:sdtEndPr/>
              <w:sdtContent>
                <w:r w:rsidR="00E45B51">
                  <w:rPr>
                    <w:rFonts w:hint="eastAsia"/>
                    <w:sz w:val="16"/>
                    <w:szCs w:val="16"/>
                  </w:rPr>
                  <w:t>Prepared by</w:t>
                </w:r>
                <w:r w:rsidR="00E45B51">
                  <w:rPr>
                    <w:sz w:val="16"/>
                    <w:szCs w:val="16"/>
                  </w:rPr>
                  <w:t xml:space="preserve"> DNV GL</w:t>
                </w:r>
              </w:sdtContent>
            </w:sdt>
          </w:p>
          <w:p w14:paraId="4F350D97" w14:textId="77777777" w:rsidR="007F3C90" w:rsidRPr="00221FED" w:rsidRDefault="007F3C90" w:rsidP="000051FE"/>
          <w:p w14:paraId="41573139" w14:textId="77777777" w:rsidR="007F3C90" w:rsidRPr="008314B1" w:rsidRDefault="007F3C90" w:rsidP="000051FE">
            <w:r>
              <w:rPr>
                <w:noProof/>
              </w:rPr>
              <w:drawing>
                <wp:inline distT="0" distB="0" distL="0" distR="0" wp14:anchorId="5B00B766" wp14:editId="4588A456">
                  <wp:extent cx="6084000" cy="4428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Image1-672x489.jpg"/>
                          <pic:cNvPicPr/>
                        </pic:nvPicPr>
                        <pic:blipFill>
                          <a:blip r:embed="rId8">
                            <a:extLst>
                              <a:ext uri="{28A0092B-C50C-407E-A947-70E740481C1C}">
                                <a14:useLocalDpi xmlns:a14="http://schemas.microsoft.com/office/drawing/2010/main" val="0"/>
                              </a:ext>
                            </a:extLst>
                          </a:blip>
                          <a:stretch>
                            <a:fillRect/>
                          </a:stretch>
                        </pic:blipFill>
                        <pic:spPr>
                          <a:xfrm>
                            <a:off x="0" y="0"/>
                            <a:ext cx="6084000" cy="4428000"/>
                          </a:xfrm>
                          <a:prstGeom prst="rect">
                            <a:avLst/>
                          </a:prstGeom>
                        </pic:spPr>
                      </pic:pic>
                    </a:graphicData>
                  </a:graphic>
                </wp:inline>
              </w:drawing>
            </w:r>
          </w:p>
        </w:tc>
      </w:tr>
    </w:tbl>
    <w:p w14:paraId="5930E73D" w14:textId="77777777" w:rsidR="007F3C90" w:rsidRDefault="007F3C90">
      <w:pPr>
        <w:spacing w:after="160"/>
        <w:rPr>
          <w:rStyle w:val="IntenseReference"/>
          <w:sz w:val="32"/>
          <w:szCs w:val="32"/>
        </w:rPr>
      </w:pPr>
    </w:p>
    <w:p w14:paraId="4423F763" w14:textId="77777777" w:rsidR="007F3C90" w:rsidRDefault="007F3C90">
      <w:pPr>
        <w:spacing w:after="160"/>
        <w:rPr>
          <w:rStyle w:val="IntenseReference"/>
          <w:sz w:val="32"/>
          <w:szCs w:val="32"/>
        </w:rPr>
      </w:pPr>
      <w:r>
        <w:rPr>
          <w:rStyle w:val="IntenseReference"/>
          <w:sz w:val="32"/>
          <w:szCs w:val="32"/>
        </w:rPr>
        <w:br w:type="page"/>
      </w:r>
    </w:p>
    <w:p w14:paraId="32D65DD8" w14:textId="77777777" w:rsidR="009929C2" w:rsidRPr="009929C2" w:rsidRDefault="009929C2" w:rsidP="00A9723C">
      <w:pPr>
        <w:spacing w:line="360" w:lineRule="auto"/>
        <w:rPr>
          <w:rStyle w:val="IntenseReference"/>
          <w:sz w:val="32"/>
          <w:szCs w:val="32"/>
        </w:rPr>
      </w:pPr>
      <w:r w:rsidRPr="009929C2">
        <w:rPr>
          <w:rStyle w:val="IntenseReference"/>
          <w:sz w:val="32"/>
          <w:szCs w:val="32"/>
        </w:rPr>
        <w:lastRenderedPageBreak/>
        <w:t>PROPOSAL</w:t>
      </w:r>
    </w:p>
    <w:p w14:paraId="64DAE8E1" w14:textId="77777777" w:rsidR="00A9723C" w:rsidRPr="007F3C90" w:rsidRDefault="00BF079D" w:rsidP="007F3C90">
      <w:pPr>
        <w:pStyle w:val="BodyText"/>
      </w:pPr>
      <w:r w:rsidRPr="007F3C90">
        <w:t xml:space="preserve">In recent years, the global energy structure has accelerated to low-carbon, carbon-free direction of evolution. The development of clean, low-emission new energy and renewable energy has become the global energy transformation trend, which has also become </w:t>
      </w:r>
      <w:r w:rsidR="00213773" w:rsidRPr="007F3C90">
        <w:t>a</w:t>
      </w:r>
      <w:r w:rsidRPr="007F3C90">
        <w:t xml:space="preserve"> </w:t>
      </w:r>
      <w:r w:rsidR="00213773" w:rsidRPr="007F3C90">
        <w:rPr>
          <w:rFonts w:hint="eastAsia"/>
        </w:rPr>
        <w:t>hot</w:t>
      </w:r>
      <w:r w:rsidR="00213773" w:rsidRPr="007F3C90">
        <w:t xml:space="preserve"> </w:t>
      </w:r>
      <w:r w:rsidR="00213773" w:rsidRPr="007F3C90">
        <w:rPr>
          <w:rFonts w:hint="eastAsia"/>
        </w:rPr>
        <w:t>spot</w:t>
      </w:r>
      <w:r w:rsidR="00213773" w:rsidRPr="007F3C90">
        <w:t xml:space="preserve"> </w:t>
      </w:r>
      <w:r w:rsidRPr="007F3C90">
        <w:t>for countries to create new economic growth points, seize the commanding heights of future development.</w:t>
      </w:r>
      <w:r w:rsidR="00A9723C" w:rsidRPr="007F3C90">
        <w:t xml:space="preserve"> </w:t>
      </w:r>
    </w:p>
    <w:p w14:paraId="3D24EF88" w14:textId="77777777" w:rsidR="009C1E76" w:rsidRPr="007F3C90" w:rsidRDefault="008D7FF6" w:rsidP="007F3C90">
      <w:pPr>
        <w:pStyle w:val="BodyText"/>
      </w:pPr>
      <w:r w:rsidRPr="007F3C90">
        <w:t>Some 3% of global energy consumption today is used to produce hydrogen. Only 0.002% of</w:t>
      </w:r>
      <w:r w:rsidR="00A9723C" w:rsidRPr="007F3C90">
        <w:t xml:space="preserve"> </w:t>
      </w:r>
      <w:r w:rsidRPr="007F3C90">
        <w:t xml:space="preserve">this hydrogen, about 1,000 </w:t>
      </w:r>
      <w:proofErr w:type="spellStart"/>
      <w:r w:rsidRPr="007F3C90">
        <w:t>tonnes</w:t>
      </w:r>
      <w:proofErr w:type="spellEnd"/>
      <w:r w:rsidRPr="007F3C90">
        <w:t xml:space="preserve"> per annum</w:t>
      </w:r>
      <w:r w:rsidR="009C1E76" w:rsidRPr="007F3C90">
        <w:rPr>
          <w:rFonts w:hint="eastAsia"/>
        </w:rPr>
        <w:t>,</w:t>
      </w:r>
      <w:r w:rsidR="009C1E76" w:rsidRPr="007F3C90">
        <w:t xml:space="preserve"> </w:t>
      </w:r>
      <w:r w:rsidRPr="007F3C90">
        <w:t>is used as an energy carrier.</w:t>
      </w:r>
      <w:bookmarkStart w:id="0" w:name="OLE_LINK1"/>
      <w:r w:rsidRPr="007F3C90">
        <w:t xml:space="preserve"> </w:t>
      </w:r>
      <w:r w:rsidR="009C1E76" w:rsidRPr="007F3C90">
        <w:t>Hydrogen can be an effective decarbonization agent if it is produced with a low carbon footprint. Such hydrogen can heat buildings, fuel transport, provide heat to industry, and be a medium to valorize surplus power from renewables. A</w:t>
      </w:r>
      <w:r w:rsidRPr="007F3C90">
        <w:t>s</w:t>
      </w:r>
      <w:r w:rsidR="00213773" w:rsidRPr="007F3C90">
        <w:t xml:space="preserve"> DNV GL recently published 2018 Energy Transition Outlook</w:t>
      </w:r>
      <w:r w:rsidR="003766F5" w:rsidRPr="007F3C90">
        <w:rPr>
          <w:rStyle w:val="FootnoteReference"/>
          <w:vertAlign w:val="baseline"/>
        </w:rPr>
        <w:footnoteReference w:id="1"/>
      </w:r>
      <w:r w:rsidR="00213773" w:rsidRPr="007F3C90">
        <w:t xml:space="preserve"> </w:t>
      </w:r>
      <w:r w:rsidRPr="007F3C90">
        <w:t>indicates,</w:t>
      </w:r>
      <w:r w:rsidR="009C1E76" w:rsidRPr="007F3C90">
        <w:t xml:space="preserve"> with main motivation of decarbonization</w:t>
      </w:r>
      <w:r w:rsidR="009C1E76" w:rsidRPr="007F3C90">
        <w:rPr>
          <w:rFonts w:hint="eastAsia"/>
        </w:rPr>
        <w:t>,</w:t>
      </w:r>
      <w:r w:rsidRPr="007F3C90">
        <w:t xml:space="preserve"> hydrogen can become a major clean energy</w:t>
      </w:r>
      <w:r w:rsidR="00A9723C" w:rsidRPr="007F3C90">
        <w:t xml:space="preserve"> </w:t>
      </w:r>
      <w:r w:rsidRPr="007F3C90">
        <w:t>carrier in</w:t>
      </w:r>
      <w:r w:rsidR="00A9723C" w:rsidRPr="007F3C90">
        <w:t xml:space="preserve"> </w:t>
      </w:r>
      <w:r w:rsidRPr="007F3C90">
        <w:t>a world struggling to limit global warming.</w:t>
      </w:r>
      <w:r w:rsidR="006064E3" w:rsidRPr="007F3C90">
        <w:t xml:space="preserve"> </w:t>
      </w:r>
      <w:r w:rsidR="00E7412E" w:rsidRPr="007F3C90">
        <w:rPr>
          <w:rStyle w:val="A13"/>
          <w:rFonts w:cs="Verdana"/>
          <w:color w:val="auto"/>
          <w:sz w:val="18"/>
          <w:szCs w:val="18"/>
        </w:rPr>
        <w:t xml:space="preserve"> </w:t>
      </w:r>
      <w:r w:rsidR="00E7412E" w:rsidRPr="007F3C90">
        <w:t xml:space="preserve">The paper also moderate uptake of hydrogen in this role towards 2050, then significant growth towards 2100. </w:t>
      </w:r>
      <w:bookmarkEnd w:id="0"/>
    </w:p>
    <w:p w14:paraId="4D060E8B" w14:textId="77777777" w:rsidR="008D7FF6" w:rsidRPr="007F3C90" w:rsidRDefault="00FB1FC2" w:rsidP="007F3C90">
      <w:pPr>
        <w:pStyle w:val="BodyText"/>
      </w:pPr>
      <w:r w:rsidRPr="007F3C90">
        <w:t xml:space="preserve">Hydrogen </w:t>
      </w:r>
      <w:r w:rsidR="00E7412E" w:rsidRPr="007F3C90">
        <w:t xml:space="preserve">energy </w:t>
      </w:r>
      <w:r w:rsidRPr="007F3C90">
        <w:t>connects different fields and sectors. DNV GL covers the entire hydrogen value chain</w:t>
      </w:r>
      <w:r w:rsidR="00E7412E" w:rsidRPr="007F3C90">
        <w:t xml:space="preserve"> and</w:t>
      </w:r>
      <w:r w:rsidRPr="007F3C90">
        <w:t xml:space="preserve"> is involved in numerous hydrogen initiatives and maintains relations with key stakeholders</w:t>
      </w:r>
      <w:r w:rsidR="00E7412E" w:rsidRPr="007F3C90">
        <w:t>, providing a thorough and integrated understanding of projects, assets, technologies and markets.</w:t>
      </w:r>
    </w:p>
    <w:p w14:paraId="7C68D80A" w14:textId="77777777" w:rsidR="008D7FF6" w:rsidRDefault="008D7FF6" w:rsidP="008D7FF6"/>
    <w:p w14:paraId="5D34E6E6" w14:textId="77777777" w:rsidR="009929C2" w:rsidRDefault="009929C2"/>
    <w:p w14:paraId="518AFBB7" w14:textId="77777777" w:rsidR="008D7FF6" w:rsidRPr="007F3C90" w:rsidRDefault="009929C2" w:rsidP="007F3C90">
      <w:pPr>
        <w:spacing w:after="160"/>
        <w:rPr>
          <w:rStyle w:val="IntenseReference"/>
          <w:b w:val="0"/>
          <w:bCs w:val="0"/>
          <w:smallCaps w:val="0"/>
          <w:color w:val="auto"/>
          <w:spacing w:val="0"/>
        </w:rPr>
      </w:pPr>
      <w:r>
        <w:br w:type="page"/>
      </w:r>
      <w:r w:rsidRPr="009929C2">
        <w:rPr>
          <w:rStyle w:val="IntenseReference"/>
          <w:sz w:val="32"/>
          <w:szCs w:val="32"/>
        </w:rPr>
        <w:lastRenderedPageBreak/>
        <w:t>ABSTRACT</w:t>
      </w:r>
    </w:p>
    <w:p w14:paraId="5BE7867A" w14:textId="77777777" w:rsidR="00283B6E" w:rsidRDefault="00283B6E" w:rsidP="00E7289E">
      <w:pPr>
        <w:rPr>
          <w:rStyle w:val="IntenseEmphasis"/>
          <w:rFonts w:asciiTheme="majorHAnsi" w:eastAsiaTheme="majorEastAsia" w:hAnsiTheme="majorHAnsi" w:cstheme="majorBidi"/>
          <w:sz w:val="32"/>
          <w:szCs w:val="32"/>
        </w:rPr>
      </w:pPr>
    </w:p>
    <w:p w14:paraId="5C1EDED8" w14:textId="77777777" w:rsidR="00E7289E" w:rsidRDefault="00E7289E" w:rsidP="00E7289E">
      <w:pPr>
        <w:rPr>
          <w:rStyle w:val="IntenseEmphasis"/>
          <w:rFonts w:asciiTheme="majorHAnsi" w:eastAsiaTheme="majorEastAsia" w:hAnsiTheme="majorHAnsi" w:cstheme="majorBidi"/>
          <w:sz w:val="32"/>
          <w:szCs w:val="32"/>
        </w:rPr>
      </w:pPr>
      <w:r w:rsidRPr="00E7289E">
        <w:rPr>
          <w:rStyle w:val="IntenseEmphasis"/>
          <w:rFonts w:asciiTheme="majorHAnsi" w:eastAsiaTheme="majorEastAsia" w:hAnsiTheme="majorHAnsi" w:cstheme="majorBidi"/>
          <w:sz w:val="32"/>
          <w:szCs w:val="32"/>
        </w:rPr>
        <w:t>S</w:t>
      </w:r>
      <w:r w:rsidRPr="00E7289E">
        <w:rPr>
          <w:rStyle w:val="IntenseEmphasis"/>
          <w:rFonts w:asciiTheme="majorHAnsi" w:eastAsiaTheme="majorEastAsia" w:hAnsiTheme="majorHAnsi" w:cstheme="majorBidi" w:hint="eastAsia"/>
          <w:sz w:val="32"/>
          <w:szCs w:val="32"/>
        </w:rPr>
        <w:t>cope</w:t>
      </w:r>
      <w:r w:rsidRPr="00E7289E">
        <w:rPr>
          <w:rStyle w:val="IntenseEmphasis"/>
          <w:rFonts w:asciiTheme="majorHAnsi" w:eastAsiaTheme="majorEastAsia" w:hAnsiTheme="majorHAnsi" w:cstheme="majorBidi"/>
          <w:sz w:val="32"/>
          <w:szCs w:val="32"/>
        </w:rPr>
        <w:t xml:space="preserve"> </w:t>
      </w:r>
      <w:r w:rsidRPr="00E7289E">
        <w:rPr>
          <w:rStyle w:val="IntenseEmphasis"/>
          <w:rFonts w:asciiTheme="majorHAnsi" w:eastAsiaTheme="majorEastAsia" w:hAnsiTheme="majorHAnsi" w:cstheme="majorBidi" w:hint="eastAsia"/>
          <w:sz w:val="32"/>
          <w:szCs w:val="32"/>
        </w:rPr>
        <w:t>and</w:t>
      </w:r>
      <w:r w:rsidRPr="00E7289E">
        <w:rPr>
          <w:rStyle w:val="IntenseEmphasis"/>
          <w:rFonts w:asciiTheme="majorHAnsi" w:eastAsiaTheme="majorEastAsia" w:hAnsiTheme="majorHAnsi" w:cstheme="majorBidi"/>
          <w:sz w:val="32"/>
          <w:szCs w:val="32"/>
        </w:rPr>
        <w:t xml:space="preserve"> </w:t>
      </w:r>
      <w:r w:rsidRPr="00E7289E">
        <w:rPr>
          <w:rStyle w:val="IntenseEmphasis"/>
          <w:rFonts w:asciiTheme="majorHAnsi" w:eastAsiaTheme="majorEastAsia" w:hAnsiTheme="majorHAnsi" w:cstheme="majorBidi" w:hint="eastAsia"/>
          <w:sz w:val="32"/>
          <w:szCs w:val="32"/>
        </w:rPr>
        <w:t>content</w:t>
      </w:r>
    </w:p>
    <w:p w14:paraId="2757ED38" w14:textId="77777777" w:rsidR="00E7289E" w:rsidRDefault="00E7289E" w:rsidP="00D47C8E">
      <w:pPr>
        <w:jc w:val="both"/>
      </w:pPr>
      <w:r w:rsidRPr="00E7289E">
        <w:t>This paper reviews the global energy situation, analyzes the development of hydrogen energy in recent years, and combines global energy policies and regional development priorities to predict the future development direction and application fields of hydrogen energy.</w:t>
      </w:r>
    </w:p>
    <w:p w14:paraId="733454A2" w14:textId="77777777" w:rsidR="001C08B5" w:rsidRDefault="001C08B5" w:rsidP="00D47C8E">
      <w:pPr>
        <w:jc w:val="both"/>
        <w:rPr>
          <w:rStyle w:val="IntenseEmphasis"/>
          <w:rFonts w:asciiTheme="majorHAnsi" w:eastAsiaTheme="majorEastAsia" w:hAnsiTheme="majorHAnsi" w:cstheme="majorBidi"/>
          <w:sz w:val="32"/>
          <w:szCs w:val="32"/>
        </w:rPr>
      </w:pPr>
      <w:r w:rsidRPr="001C08B5">
        <w:rPr>
          <w:rStyle w:val="IntenseEmphasis"/>
          <w:rFonts w:asciiTheme="majorHAnsi" w:eastAsiaTheme="majorEastAsia" w:hAnsiTheme="majorHAnsi" w:cstheme="majorBidi"/>
          <w:sz w:val="32"/>
          <w:szCs w:val="32"/>
        </w:rPr>
        <w:t>Organizations</w:t>
      </w:r>
    </w:p>
    <w:p w14:paraId="399FBC25" w14:textId="77777777" w:rsidR="001C08B5" w:rsidRDefault="001C08B5" w:rsidP="00D47C8E">
      <w:pPr>
        <w:jc w:val="both"/>
      </w:pPr>
      <w:r w:rsidRPr="001C08B5">
        <w:t>The p</w:t>
      </w:r>
      <w:r w:rsidR="00ED00DC">
        <w:t>resentation</w:t>
      </w:r>
      <w:r w:rsidRPr="001C08B5">
        <w:t xml:space="preserve"> is organized as follows.</w:t>
      </w:r>
    </w:p>
    <w:p w14:paraId="4001A37E" w14:textId="77777777" w:rsidR="001C08B5" w:rsidRPr="001C08B5" w:rsidRDefault="001C08B5" w:rsidP="00D47C8E">
      <w:pPr>
        <w:jc w:val="both"/>
      </w:pPr>
      <w:r w:rsidRPr="001C08B5">
        <w:t xml:space="preserve">Section </w:t>
      </w:r>
      <w:r>
        <w:t xml:space="preserve">1 </w:t>
      </w:r>
      <w:r w:rsidRPr="001C08B5">
        <w:t>provide</w:t>
      </w:r>
      <w:r w:rsidR="00ED00DC">
        <w:t>s</w:t>
      </w:r>
      <w:r w:rsidRPr="001C08B5">
        <w:t xml:space="preserve"> </w:t>
      </w:r>
      <w:r w:rsidR="00ED00DC">
        <w:t>audiences</w:t>
      </w:r>
      <w:r w:rsidRPr="001C08B5">
        <w:t xml:space="preserve"> with an overview of possible hydrogen value chain constellations.</w:t>
      </w:r>
    </w:p>
    <w:p w14:paraId="19EA00A0" w14:textId="77777777" w:rsidR="001C08B5" w:rsidRDefault="001C08B5" w:rsidP="00D47C8E">
      <w:pPr>
        <w:jc w:val="both"/>
      </w:pPr>
      <w:bookmarkStart w:id="1" w:name="OLE_LINK2"/>
      <w:r w:rsidRPr="001C08B5">
        <w:t>Section 2 describes the context for decarbonization through hydrogen</w:t>
      </w:r>
      <w:r w:rsidR="00ED00DC">
        <w:t xml:space="preserve"> and</w:t>
      </w:r>
      <w:r>
        <w:t xml:space="preserve"> </w:t>
      </w:r>
      <w:r w:rsidRPr="001C08B5">
        <w:t>how</w:t>
      </w:r>
      <w:r>
        <w:t xml:space="preserve"> </w:t>
      </w:r>
      <w:r w:rsidRPr="001C08B5">
        <w:t>hydrogen can contribute to decarbonization for</w:t>
      </w:r>
      <w:r>
        <w:t xml:space="preserve"> </w:t>
      </w:r>
      <w:r w:rsidRPr="001C08B5">
        <w:t>the main application areas</w:t>
      </w:r>
      <w:r>
        <w:t>.</w:t>
      </w:r>
    </w:p>
    <w:p w14:paraId="4126CA86" w14:textId="77777777" w:rsidR="001C08B5" w:rsidRDefault="001C08B5" w:rsidP="00D47C8E">
      <w:pPr>
        <w:jc w:val="both"/>
      </w:pPr>
      <w:r w:rsidRPr="001C08B5">
        <w:t xml:space="preserve">Section </w:t>
      </w:r>
      <w:r>
        <w:t>3</w:t>
      </w:r>
      <w:r w:rsidR="00ED00DC">
        <w:t xml:space="preserve"> states several approaches of the hydrogen applications as examples.</w:t>
      </w:r>
    </w:p>
    <w:bookmarkEnd w:id="1"/>
    <w:p w14:paraId="08344CB3" w14:textId="77777777" w:rsidR="001C08B5" w:rsidRPr="001C08B5" w:rsidRDefault="001C08B5" w:rsidP="00D47C8E">
      <w:pPr>
        <w:jc w:val="both"/>
        <w:rPr>
          <w:rStyle w:val="IntenseEmphasis"/>
          <w:i w:val="0"/>
          <w:iCs w:val="0"/>
          <w:color w:val="auto"/>
          <w:sz w:val="24"/>
          <w:szCs w:val="24"/>
        </w:rPr>
      </w:pPr>
      <w:r w:rsidRPr="001C08B5">
        <w:t xml:space="preserve">Section </w:t>
      </w:r>
      <w:r w:rsidR="00ED00DC">
        <w:t xml:space="preserve">4 </w:t>
      </w:r>
      <w:r w:rsidRPr="001C08B5">
        <w:t>estimate</w:t>
      </w:r>
      <w:r w:rsidR="00ED00DC">
        <w:t>s</w:t>
      </w:r>
      <w:r w:rsidRPr="001C08B5">
        <w:t xml:space="preserve"> the</w:t>
      </w:r>
      <w:r w:rsidR="00ED00DC">
        <w:t xml:space="preserve"> </w:t>
      </w:r>
      <w:r w:rsidRPr="001C08B5">
        <w:t>demand for hydrogen as an energy carrier in 2030, and project</w:t>
      </w:r>
      <w:r w:rsidR="00ED00DC">
        <w:t xml:space="preserve">s </w:t>
      </w:r>
      <w:r w:rsidRPr="001C08B5">
        <w:t>the possible total demand for hydrogen (as a feedstock and as an energy carrier) in 2050.</w:t>
      </w:r>
    </w:p>
    <w:p w14:paraId="596F3695" w14:textId="77777777" w:rsidR="00E7289E" w:rsidRDefault="00E7289E" w:rsidP="00D47C8E">
      <w:pPr>
        <w:jc w:val="both"/>
        <w:rPr>
          <w:rStyle w:val="IntenseEmphasis"/>
          <w:rFonts w:asciiTheme="majorHAnsi" w:eastAsiaTheme="majorEastAsia" w:hAnsiTheme="majorHAnsi" w:cstheme="majorBidi"/>
          <w:sz w:val="32"/>
          <w:szCs w:val="32"/>
        </w:rPr>
      </w:pPr>
      <w:r>
        <w:rPr>
          <w:rStyle w:val="IntenseEmphasis"/>
          <w:rFonts w:asciiTheme="majorHAnsi" w:eastAsiaTheme="majorEastAsia" w:hAnsiTheme="majorHAnsi" w:cstheme="majorBidi"/>
          <w:sz w:val="32"/>
          <w:szCs w:val="32"/>
        </w:rPr>
        <w:t xml:space="preserve">Key </w:t>
      </w:r>
      <w:r>
        <w:rPr>
          <w:rStyle w:val="IntenseEmphasis"/>
          <w:rFonts w:asciiTheme="majorHAnsi" w:eastAsiaTheme="majorEastAsia" w:hAnsiTheme="majorHAnsi" w:cstheme="majorBidi" w:hint="eastAsia"/>
          <w:sz w:val="32"/>
          <w:szCs w:val="32"/>
        </w:rPr>
        <w:t>points</w:t>
      </w:r>
    </w:p>
    <w:p w14:paraId="1A8DDDE1" w14:textId="77777777" w:rsidR="001C08B5" w:rsidRDefault="00E7289E" w:rsidP="00D47C8E">
      <w:pPr>
        <w:pStyle w:val="Heading2"/>
        <w:numPr>
          <w:ilvl w:val="0"/>
          <w:numId w:val="2"/>
        </w:numPr>
        <w:jc w:val="both"/>
      </w:pPr>
      <w:r w:rsidRPr="00E7289E">
        <w:t>Hydrogen value chains</w:t>
      </w:r>
      <w:r>
        <w:t xml:space="preserve"> </w:t>
      </w:r>
      <w:r>
        <w:rPr>
          <w:rFonts w:hint="eastAsia"/>
        </w:rPr>
        <w:t>introduction</w:t>
      </w:r>
    </w:p>
    <w:p w14:paraId="4F85BBDB" w14:textId="77777777" w:rsidR="001C08B5" w:rsidRDefault="001C08B5" w:rsidP="00D47C8E">
      <w:pPr>
        <w:ind w:left="360"/>
        <w:jc w:val="both"/>
      </w:pPr>
      <w:r>
        <w:t>Hydrogen can be produced in several ways, as shown in Figure 1. However, the primary driver for uptake of hydrogen as an energy carrier is decarbonization. This implies that emphasis will be placed on producing hydrogen in ways that allow hydrogen value chains to have a lower carbon footprint than alternative competing energy value chains, including alternative hydrogen value chains.</w:t>
      </w:r>
    </w:p>
    <w:p w14:paraId="5884A676" w14:textId="77777777" w:rsidR="00ED00DC" w:rsidRDefault="00ED00DC" w:rsidP="00D47C8E">
      <w:pPr>
        <w:pStyle w:val="Heading2"/>
        <w:numPr>
          <w:ilvl w:val="0"/>
          <w:numId w:val="2"/>
        </w:numPr>
        <w:jc w:val="both"/>
      </w:pPr>
      <w:r w:rsidRPr="00E7289E">
        <w:rPr>
          <w:rFonts w:eastAsiaTheme="minorEastAsia"/>
        </w:rPr>
        <w:t>H</w:t>
      </w:r>
      <w:r>
        <w:t>ydrogen policies, decarbonization context and markets</w:t>
      </w:r>
    </w:p>
    <w:p w14:paraId="73F2D7E7" w14:textId="77777777" w:rsidR="00ED00DC" w:rsidRPr="007F3C90" w:rsidRDefault="00ED00DC" w:rsidP="00D47C8E">
      <w:pPr>
        <w:ind w:left="360"/>
        <w:jc w:val="both"/>
        <w:rPr>
          <w:szCs w:val="18"/>
        </w:rPr>
      </w:pPr>
      <w:r w:rsidRPr="007F3C90">
        <w:rPr>
          <w:szCs w:val="18"/>
        </w:rPr>
        <w:t>This section draws on the 2014 Assessment Report by the Intergovernmental Panel on Climate Change (IPCC) on climate change mitigation</w:t>
      </w:r>
      <w:r w:rsidRPr="007F3C90">
        <w:rPr>
          <w:rStyle w:val="FootnoteReference"/>
          <w:szCs w:val="18"/>
        </w:rPr>
        <w:footnoteReference w:id="2"/>
      </w:r>
      <w:r w:rsidRPr="007F3C90">
        <w:rPr>
          <w:szCs w:val="18"/>
        </w:rPr>
        <w:t xml:space="preserve"> in order to describe the scale of the decarbonization challenge for respective economic sectors.</w:t>
      </w:r>
    </w:p>
    <w:p w14:paraId="4651AD5B" w14:textId="77777777" w:rsidR="00ED00DC" w:rsidRDefault="00ED00DC" w:rsidP="00D47C8E">
      <w:pPr>
        <w:pStyle w:val="Heading2"/>
        <w:numPr>
          <w:ilvl w:val="0"/>
          <w:numId w:val="2"/>
        </w:numPr>
        <w:jc w:val="both"/>
      </w:pPr>
      <w:r>
        <w:t>Hydrogen applications</w:t>
      </w:r>
    </w:p>
    <w:p w14:paraId="46746063" w14:textId="77777777" w:rsidR="00ED00DC" w:rsidRPr="007F3C90" w:rsidRDefault="00ED00DC" w:rsidP="00D47C8E">
      <w:pPr>
        <w:ind w:left="360"/>
        <w:jc w:val="both"/>
      </w:pPr>
      <w:r w:rsidRPr="007F3C90">
        <w:rPr>
          <w:rStyle w:val="BodyTextChar"/>
        </w:rPr>
        <w:t>T</w:t>
      </w:r>
      <w:r w:rsidRPr="007F3C90">
        <w:t>he main applications considered are: Hydrogen as fuel for mobility; Hydrogen for heating in buildings; Hydrogen for decarbonization of industrial processes; and hydrogen for valorization of excess electricity from variable renewable power.</w:t>
      </w:r>
    </w:p>
    <w:p w14:paraId="79A2981E" w14:textId="77777777" w:rsidR="00ED00DC" w:rsidRDefault="00ED00DC" w:rsidP="00D47C8E">
      <w:pPr>
        <w:pStyle w:val="ListParagraph"/>
        <w:numPr>
          <w:ilvl w:val="0"/>
          <w:numId w:val="2"/>
        </w:numPr>
        <w:jc w:val="both"/>
        <w:rPr>
          <w:rFonts w:asciiTheme="majorHAnsi" w:eastAsiaTheme="majorEastAsia" w:hAnsiTheme="majorHAnsi" w:cstheme="majorBidi"/>
          <w:color w:val="2F5496" w:themeColor="accent1" w:themeShade="BF"/>
          <w:sz w:val="26"/>
          <w:szCs w:val="26"/>
        </w:rPr>
      </w:pPr>
      <w:r w:rsidRPr="00E7289E">
        <w:rPr>
          <w:rFonts w:asciiTheme="majorHAnsi" w:eastAsiaTheme="majorEastAsia" w:hAnsiTheme="majorHAnsi" w:cstheme="majorBidi"/>
          <w:color w:val="2F5496" w:themeColor="accent1" w:themeShade="BF"/>
          <w:sz w:val="26"/>
          <w:szCs w:val="26"/>
        </w:rPr>
        <w:t>Uptake in 2030 and 2050</w:t>
      </w:r>
    </w:p>
    <w:p w14:paraId="6DB2B526" w14:textId="77777777" w:rsidR="00ED00DC" w:rsidRDefault="00ED00DC" w:rsidP="00D47C8E">
      <w:pPr>
        <w:ind w:left="360"/>
        <w:jc w:val="both"/>
      </w:pPr>
      <w:r>
        <w:t>The estimated demand for hydrogen as an energy carrier in 2030 is summarized in Table 5.</w:t>
      </w:r>
    </w:p>
    <w:p w14:paraId="7BDC758D" w14:textId="77777777" w:rsidR="00ED00DC" w:rsidRPr="00ED00DC" w:rsidRDefault="00ED00DC" w:rsidP="00D47C8E">
      <w:pPr>
        <w:ind w:left="360"/>
        <w:jc w:val="both"/>
        <w:rPr>
          <w:rFonts w:asciiTheme="majorHAnsi" w:eastAsiaTheme="majorEastAsia" w:hAnsiTheme="majorHAnsi" w:cstheme="majorBidi"/>
          <w:color w:val="2F5496" w:themeColor="accent1" w:themeShade="BF"/>
          <w:sz w:val="26"/>
          <w:szCs w:val="26"/>
        </w:rPr>
      </w:pPr>
      <w:r>
        <w:t xml:space="preserve">Figure </w:t>
      </w:r>
      <w:r w:rsidR="00BE5A6D">
        <w:t>3</w:t>
      </w:r>
      <w:r>
        <w:t xml:space="preserve"> shows the market share of the total H</w:t>
      </w:r>
      <w:r>
        <w:rPr>
          <w:rStyle w:val="A10"/>
        </w:rPr>
        <w:t xml:space="preserve">2 </w:t>
      </w:r>
      <w:r>
        <w:t>demand (94 Mt) in the respective industries.</w:t>
      </w:r>
    </w:p>
    <w:p w14:paraId="5396A113" w14:textId="77777777" w:rsidR="00ED00DC" w:rsidRDefault="00ED00DC" w:rsidP="00D47C8E">
      <w:pPr>
        <w:pStyle w:val="Heading2"/>
        <w:jc w:val="both"/>
        <w:rPr>
          <w:rStyle w:val="IntenseEmphasis"/>
          <w:sz w:val="32"/>
          <w:szCs w:val="32"/>
        </w:rPr>
      </w:pPr>
      <w:r w:rsidRPr="00E7289E">
        <w:rPr>
          <w:rStyle w:val="IntenseEmphasis"/>
          <w:sz w:val="32"/>
          <w:szCs w:val="32"/>
        </w:rPr>
        <w:t>Signi</w:t>
      </w:r>
      <w:r>
        <w:rPr>
          <w:rStyle w:val="IntenseEmphasis"/>
          <w:sz w:val="32"/>
          <w:szCs w:val="32"/>
        </w:rPr>
        <w:t>fic</w:t>
      </w:r>
      <w:r w:rsidRPr="00E7289E">
        <w:rPr>
          <w:rStyle w:val="IntenseEmphasis"/>
          <w:sz w:val="32"/>
          <w:szCs w:val="32"/>
        </w:rPr>
        <w:t>an</w:t>
      </w:r>
      <w:r>
        <w:rPr>
          <w:rStyle w:val="IntenseEmphasis"/>
          <w:sz w:val="32"/>
          <w:szCs w:val="32"/>
        </w:rPr>
        <w:t>ce</w:t>
      </w:r>
    </w:p>
    <w:p w14:paraId="54AE43AC" w14:textId="77777777" w:rsidR="00ED00DC" w:rsidRDefault="00ED00DC" w:rsidP="00D47C8E">
      <w:pPr>
        <w:jc w:val="both"/>
      </w:pPr>
      <w:r>
        <w:t>This paper could provide a basic foresee of the future development trend for the hydrogen energy industry, at the same time, the assumptions brought up in the paper could be a reference for the further investigation in the hydrogen field.</w:t>
      </w:r>
    </w:p>
    <w:p w14:paraId="3C66FB4C" w14:textId="77777777" w:rsidR="00ED00DC" w:rsidRDefault="00ED00DC" w:rsidP="001C08B5">
      <w:pPr>
        <w:ind w:left="360"/>
        <w:rPr>
          <w:rFonts w:cs="AvenirNext LT Pro Regular"/>
          <w:color w:val="000000"/>
          <w:szCs w:val="18"/>
        </w:rPr>
      </w:pPr>
    </w:p>
    <w:p w14:paraId="55C355F8" w14:textId="77777777" w:rsidR="001C08B5" w:rsidRDefault="001C08B5" w:rsidP="00ED00DC">
      <w:pPr>
        <w:ind w:left="360"/>
        <w:jc w:val="center"/>
      </w:pPr>
      <w:r>
        <w:rPr>
          <w:noProof/>
        </w:rPr>
        <w:lastRenderedPageBreak/>
        <w:drawing>
          <wp:inline distT="0" distB="0" distL="0" distR="0" wp14:anchorId="261560BE" wp14:editId="1D2D2946">
            <wp:extent cx="4198289" cy="413123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4544" cy="4166909"/>
                    </a:xfrm>
                    <a:prstGeom prst="rect">
                      <a:avLst/>
                    </a:prstGeom>
                  </pic:spPr>
                </pic:pic>
              </a:graphicData>
            </a:graphic>
          </wp:inline>
        </w:drawing>
      </w:r>
    </w:p>
    <w:p w14:paraId="41C5F03F" w14:textId="77777777" w:rsidR="001C08B5" w:rsidRPr="00ED00DC" w:rsidRDefault="001C08B5" w:rsidP="00ED00DC">
      <w:pPr>
        <w:ind w:left="360"/>
        <w:jc w:val="center"/>
        <w:rPr>
          <w:rFonts w:cs="AvenirNext LT Pro Medium"/>
          <w:color w:val="000000"/>
          <w:sz w:val="16"/>
          <w:szCs w:val="16"/>
        </w:rPr>
      </w:pPr>
      <w:r w:rsidRPr="00BB13B9">
        <w:rPr>
          <w:rFonts w:cs="AvenirNext LT Pro Medium"/>
          <w:color w:val="000000"/>
          <w:sz w:val="16"/>
          <w:szCs w:val="16"/>
        </w:rPr>
        <w:t>Figure 1: Overview of main options for production, transport and storage of hydrogen. Source: DNV</w:t>
      </w:r>
      <w:r w:rsidRPr="00ED00DC">
        <w:rPr>
          <w:rFonts w:cs="AvenirNext LT Pro Medium"/>
          <w:color w:val="000000"/>
          <w:sz w:val="16"/>
          <w:szCs w:val="16"/>
        </w:rPr>
        <w:t xml:space="preserve"> GL</w:t>
      </w:r>
    </w:p>
    <w:p w14:paraId="619E82F7" w14:textId="77777777" w:rsidR="00ED00DC" w:rsidRDefault="00ED00DC" w:rsidP="00ED00DC">
      <w:pPr>
        <w:jc w:val="center"/>
        <w:rPr>
          <w:rFonts w:cs="AvenirNext LT Pro Medium"/>
          <w:color w:val="000000"/>
          <w:sz w:val="16"/>
          <w:szCs w:val="16"/>
        </w:rPr>
      </w:pPr>
    </w:p>
    <w:p w14:paraId="19133505" w14:textId="77777777" w:rsidR="00ED00DC" w:rsidRDefault="00ED00DC" w:rsidP="00ED00DC">
      <w:pPr>
        <w:jc w:val="center"/>
        <w:rPr>
          <w:rFonts w:cs="AvenirNext LT Pro Medium"/>
          <w:color w:val="000000"/>
          <w:sz w:val="16"/>
          <w:szCs w:val="16"/>
        </w:rPr>
      </w:pPr>
    </w:p>
    <w:p w14:paraId="10E5BAE4" w14:textId="77777777" w:rsidR="00ED00DC" w:rsidRDefault="00ED00DC" w:rsidP="00ED00DC">
      <w:pPr>
        <w:jc w:val="center"/>
        <w:rPr>
          <w:rFonts w:cs="AvenirNext LT Pro Medium"/>
          <w:color w:val="000000"/>
          <w:sz w:val="16"/>
          <w:szCs w:val="16"/>
        </w:rPr>
      </w:pPr>
      <w:r>
        <w:rPr>
          <w:rFonts w:cs="AvenirNext LT Pro Medium"/>
          <w:color w:val="000000"/>
          <w:sz w:val="16"/>
          <w:szCs w:val="16"/>
        </w:rPr>
        <w:t xml:space="preserve">Table 1: </w:t>
      </w:r>
      <w:r w:rsidRPr="00ED00DC">
        <w:rPr>
          <w:rFonts w:cs="AvenirNext LT Pro Medium"/>
          <w:color w:val="000000"/>
          <w:sz w:val="16"/>
          <w:szCs w:val="16"/>
        </w:rPr>
        <w:t>Estimated demand for hydrogen in 2030</w:t>
      </w:r>
    </w:p>
    <w:tbl>
      <w:tblPr>
        <w:tblStyle w:val="ListTable4-Accent5"/>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96"/>
        <w:gridCol w:w="5244"/>
      </w:tblGrid>
      <w:tr w:rsidR="00ED00DC" w14:paraId="5F90EAE8" w14:textId="77777777" w:rsidTr="00ED00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5" w:type="pct"/>
            <w:tcBorders>
              <w:top w:val="none" w:sz="0" w:space="0" w:color="auto"/>
              <w:left w:val="none" w:sz="0" w:space="0" w:color="auto"/>
              <w:bottom w:val="none" w:sz="0" w:space="0" w:color="auto"/>
            </w:tcBorders>
          </w:tcPr>
          <w:p w14:paraId="583F6789" w14:textId="77777777" w:rsidR="00ED00DC" w:rsidRPr="00F92386" w:rsidRDefault="00ED00DC" w:rsidP="00ED00DC">
            <w:pPr>
              <w:jc w:val="center"/>
            </w:pPr>
            <w:r w:rsidRPr="00F92386">
              <w:t>Application</w:t>
            </w:r>
          </w:p>
        </w:tc>
        <w:tc>
          <w:tcPr>
            <w:tcW w:w="3035" w:type="pct"/>
            <w:tcBorders>
              <w:top w:val="none" w:sz="0" w:space="0" w:color="auto"/>
              <w:bottom w:val="none" w:sz="0" w:space="0" w:color="auto"/>
              <w:right w:val="none" w:sz="0" w:space="0" w:color="auto"/>
            </w:tcBorders>
          </w:tcPr>
          <w:p w14:paraId="1373E124" w14:textId="77777777" w:rsidR="00ED00DC" w:rsidRPr="00EF1DD8" w:rsidRDefault="00ED00DC" w:rsidP="00ED00DC">
            <w:pPr>
              <w:jc w:val="center"/>
              <w:cnfStyle w:val="100000000000" w:firstRow="1" w:lastRow="0" w:firstColumn="0" w:lastColumn="0" w:oddVBand="0" w:evenVBand="0" w:oddHBand="0" w:evenHBand="0" w:firstRowFirstColumn="0" w:firstRowLastColumn="0" w:lastRowFirstColumn="0" w:lastRowLastColumn="0"/>
            </w:pPr>
            <w:r w:rsidRPr="00EF1DD8">
              <w:t>Hydrogen demand (</w:t>
            </w:r>
            <w:proofErr w:type="spellStart"/>
            <w:r w:rsidRPr="00EF1DD8">
              <w:t>Mtpa</w:t>
            </w:r>
            <w:proofErr w:type="spellEnd"/>
            <w:r w:rsidRPr="00EF1DD8">
              <w:t>)</w:t>
            </w:r>
          </w:p>
        </w:tc>
      </w:tr>
      <w:tr w:rsidR="00ED00DC" w14:paraId="32D7A12A" w14:textId="77777777" w:rsidTr="00ED00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5" w:type="pct"/>
          </w:tcPr>
          <w:p w14:paraId="5590B566" w14:textId="77777777" w:rsidR="00ED00DC" w:rsidRPr="00ED00DC" w:rsidRDefault="00ED00DC" w:rsidP="00ED00DC">
            <w:pPr>
              <w:jc w:val="center"/>
              <w:rPr>
                <w:b w:val="0"/>
              </w:rPr>
            </w:pPr>
            <w:r w:rsidRPr="00ED00DC">
              <w:rPr>
                <w:b w:val="0"/>
              </w:rPr>
              <w:t>Building heating</w:t>
            </w:r>
          </w:p>
        </w:tc>
        <w:tc>
          <w:tcPr>
            <w:tcW w:w="3035" w:type="pct"/>
          </w:tcPr>
          <w:p w14:paraId="2B8BF235" w14:textId="77777777" w:rsidR="00ED00DC" w:rsidRPr="00EF1DD8" w:rsidRDefault="00ED00DC" w:rsidP="00ED00DC">
            <w:pPr>
              <w:jc w:val="center"/>
              <w:cnfStyle w:val="000000100000" w:firstRow="0" w:lastRow="0" w:firstColumn="0" w:lastColumn="0" w:oddVBand="0" w:evenVBand="0" w:oddHBand="1" w:evenHBand="0" w:firstRowFirstColumn="0" w:firstRowLastColumn="0" w:lastRowFirstColumn="0" w:lastRowLastColumn="0"/>
            </w:pPr>
            <w:r w:rsidRPr="00EF1DD8">
              <w:t>3.6</w:t>
            </w:r>
          </w:p>
        </w:tc>
      </w:tr>
      <w:tr w:rsidR="00ED00DC" w14:paraId="4F5B2F22" w14:textId="77777777" w:rsidTr="00ED00DC">
        <w:trPr>
          <w:jc w:val="center"/>
        </w:trPr>
        <w:tc>
          <w:tcPr>
            <w:cnfStyle w:val="001000000000" w:firstRow="0" w:lastRow="0" w:firstColumn="1" w:lastColumn="0" w:oddVBand="0" w:evenVBand="0" w:oddHBand="0" w:evenHBand="0" w:firstRowFirstColumn="0" w:firstRowLastColumn="0" w:lastRowFirstColumn="0" w:lastRowLastColumn="0"/>
            <w:tcW w:w="1965" w:type="pct"/>
          </w:tcPr>
          <w:p w14:paraId="154E8DCB" w14:textId="77777777" w:rsidR="00ED00DC" w:rsidRPr="00ED00DC" w:rsidRDefault="00ED00DC" w:rsidP="00ED00DC">
            <w:pPr>
              <w:jc w:val="center"/>
              <w:rPr>
                <w:b w:val="0"/>
              </w:rPr>
            </w:pPr>
            <w:r w:rsidRPr="00ED00DC">
              <w:rPr>
                <w:b w:val="0"/>
              </w:rPr>
              <w:t>Light vehicles</w:t>
            </w:r>
          </w:p>
        </w:tc>
        <w:tc>
          <w:tcPr>
            <w:tcW w:w="3035" w:type="pct"/>
          </w:tcPr>
          <w:p w14:paraId="01A26DCE" w14:textId="77777777" w:rsidR="00ED00DC" w:rsidRPr="00EF1DD8" w:rsidRDefault="00ED00DC" w:rsidP="00ED00DC">
            <w:pPr>
              <w:jc w:val="center"/>
              <w:cnfStyle w:val="000000000000" w:firstRow="0" w:lastRow="0" w:firstColumn="0" w:lastColumn="0" w:oddVBand="0" w:evenVBand="0" w:oddHBand="0" w:evenHBand="0" w:firstRowFirstColumn="0" w:firstRowLastColumn="0" w:lastRowFirstColumn="0" w:lastRowLastColumn="0"/>
            </w:pPr>
            <w:r w:rsidRPr="00EF1DD8">
              <w:t>0.3–0.8</w:t>
            </w:r>
          </w:p>
        </w:tc>
      </w:tr>
      <w:tr w:rsidR="00ED00DC" w14:paraId="39A75ACB" w14:textId="77777777" w:rsidTr="00ED00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5" w:type="pct"/>
          </w:tcPr>
          <w:p w14:paraId="782C0723" w14:textId="77777777" w:rsidR="00ED00DC" w:rsidRPr="00ED00DC" w:rsidRDefault="00ED00DC" w:rsidP="00ED00DC">
            <w:pPr>
              <w:jc w:val="center"/>
              <w:rPr>
                <w:b w:val="0"/>
              </w:rPr>
            </w:pPr>
            <w:r w:rsidRPr="00ED00DC">
              <w:rPr>
                <w:b w:val="0"/>
              </w:rPr>
              <w:t>Heavy vehicles</w:t>
            </w:r>
          </w:p>
        </w:tc>
        <w:tc>
          <w:tcPr>
            <w:tcW w:w="3035" w:type="pct"/>
          </w:tcPr>
          <w:p w14:paraId="4C1AC293" w14:textId="77777777" w:rsidR="00ED00DC" w:rsidRPr="00EF1DD8" w:rsidRDefault="00ED00DC" w:rsidP="00ED00DC">
            <w:pPr>
              <w:jc w:val="center"/>
              <w:cnfStyle w:val="000000100000" w:firstRow="0" w:lastRow="0" w:firstColumn="0" w:lastColumn="0" w:oddVBand="0" w:evenVBand="0" w:oddHBand="1" w:evenHBand="0" w:firstRowFirstColumn="0" w:firstRowLastColumn="0" w:lastRowFirstColumn="0" w:lastRowLastColumn="0"/>
            </w:pPr>
            <w:r w:rsidRPr="00EF1DD8">
              <w:t>0.0–0.1</w:t>
            </w:r>
          </w:p>
        </w:tc>
      </w:tr>
      <w:tr w:rsidR="00ED00DC" w14:paraId="3E0A9298" w14:textId="77777777" w:rsidTr="00ED00DC">
        <w:trPr>
          <w:jc w:val="center"/>
        </w:trPr>
        <w:tc>
          <w:tcPr>
            <w:cnfStyle w:val="001000000000" w:firstRow="0" w:lastRow="0" w:firstColumn="1" w:lastColumn="0" w:oddVBand="0" w:evenVBand="0" w:oddHBand="0" w:evenHBand="0" w:firstRowFirstColumn="0" w:firstRowLastColumn="0" w:lastRowFirstColumn="0" w:lastRowLastColumn="0"/>
            <w:tcW w:w="1965" w:type="pct"/>
          </w:tcPr>
          <w:p w14:paraId="6452EBF8" w14:textId="77777777" w:rsidR="00ED00DC" w:rsidRPr="00ED00DC" w:rsidRDefault="00ED00DC" w:rsidP="00ED00DC">
            <w:pPr>
              <w:jc w:val="center"/>
              <w:rPr>
                <w:b w:val="0"/>
              </w:rPr>
            </w:pPr>
            <w:r w:rsidRPr="00ED00DC">
              <w:rPr>
                <w:b w:val="0"/>
              </w:rPr>
              <w:t>Industry heat</w:t>
            </w:r>
          </w:p>
        </w:tc>
        <w:tc>
          <w:tcPr>
            <w:tcW w:w="3035" w:type="pct"/>
          </w:tcPr>
          <w:p w14:paraId="5C337B35" w14:textId="77777777" w:rsidR="00ED00DC" w:rsidRPr="00EF1DD8" w:rsidRDefault="00ED00DC" w:rsidP="00ED00DC">
            <w:pPr>
              <w:jc w:val="center"/>
              <w:cnfStyle w:val="000000000000" w:firstRow="0" w:lastRow="0" w:firstColumn="0" w:lastColumn="0" w:oddVBand="0" w:evenVBand="0" w:oddHBand="0" w:evenHBand="0" w:firstRowFirstColumn="0" w:firstRowLastColumn="0" w:lastRowFirstColumn="0" w:lastRowLastColumn="0"/>
            </w:pPr>
            <w:r w:rsidRPr="00EF1DD8">
              <w:t>0</w:t>
            </w:r>
          </w:p>
        </w:tc>
      </w:tr>
      <w:tr w:rsidR="00ED00DC" w14:paraId="3406D060" w14:textId="77777777" w:rsidTr="00ED00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5" w:type="pct"/>
          </w:tcPr>
          <w:p w14:paraId="36A6B21A" w14:textId="77777777" w:rsidR="00ED00DC" w:rsidRPr="00ED00DC" w:rsidRDefault="00ED00DC" w:rsidP="00ED00DC">
            <w:pPr>
              <w:jc w:val="center"/>
              <w:rPr>
                <w:b w:val="0"/>
              </w:rPr>
            </w:pPr>
            <w:r w:rsidRPr="00ED00DC">
              <w:rPr>
                <w:b w:val="0"/>
              </w:rPr>
              <w:t>DRI steelmaking</w:t>
            </w:r>
          </w:p>
        </w:tc>
        <w:tc>
          <w:tcPr>
            <w:tcW w:w="3035" w:type="pct"/>
          </w:tcPr>
          <w:p w14:paraId="340B63F7" w14:textId="77777777" w:rsidR="00ED00DC" w:rsidRPr="00EF1DD8" w:rsidRDefault="00ED00DC" w:rsidP="00ED00DC">
            <w:pPr>
              <w:jc w:val="center"/>
              <w:cnfStyle w:val="000000100000" w:firstRow="0" w:lastRow="0" w:firstColumn="0" w:lastColumn="0" w:oddVBand="0" w:evenVBand="0" w:oddHBand="1" w:evenHBand="0" w:firstRowFirstColumn="0" w:firstRowLastColumn="0" w:lastRowFirstColumn="0" w:lastRowLastColumn="0"/>
            </w:pPr>
            <w:r w:rsidRPr="00EF1DD8">
              <w:t>0.1</w:t>
            </w:r>
          </w:p>
        </w:tc>
      </w:tr>
      <w:tr w:rsidR="00ED00DC" w14:paraId="0405E71A" w14:textId="77777777" w:rsidTr="00ED00DC">
        <w:trPr>
          <w:jc w:val="center"/>
        </w:trPr>
        <w:tc>
          <w:tcPr>
            <w:cnfStyle w:val="001000000000" w:firstRow="0" w:lastRow="0" w:firstColumn="1" w:lastColumn="0" w:oddVBand="0" w:evenVBand="0" w:oddHBand="0" w:evenHBand="0" w:firstRowFirstColumn="0" w:firstRowLastColumn="0" w:lastRowFirstColumn="0" w:lastRowLastColumn="0"/>
            <w:tcW w:w="1965" w:type="pct"/>
          </w:tcPr>
          <w:p w14:paraId="0474BDF5" w14:textId="77777777" w:rsidR="00ED00DC" w:rsidRDefault="00ED00DC" w:rsidP="00ED00DC">
            <w:pPr>
              <w:jc w:val="center"/>
              <w:rPr>
                <w:rFonts w:cs="AvenirNext LT Pro Medium"/>
                <w:color w:val="000000"/>
                <w:sz w:val="16"/>
                <w:szCs w:val="16"/>
              </w:rPr>
            </w:pPr>
          </w:p>
        </w:tc>
        <w:tc>
          <w:tcPr>
            <w:tcW w:w="3035" w:type="pct"/>
          </w:tcPr>
          <w:p w14:paraId="0DA813A2" w14:textId="77777777" w:rsidR="00ED00DC" w:rsidRDefault="00ED00DC" w:rsidP="00ED00DC">
            <w:pPr>
              <w:jc w:val="center"/>
              <w:cnfStyle w:val="000000000000" w:firstRow="0" w:lastRow="0" w:firstColumn="0" w:lastColumn="0" w:oddVBand="0" w:evenVBand="0" w:oddHBand="0" w:evenHBand="0" w:firstRowFirstColumn="0" w:firstRowLastColumn="0" w:lastRowFirstColumn="0" w:lastRowLastColumn="0"/>
              <w:rPr>
                <w:rFonts w:cs="AvenirNext LT Pro Medium"/>
                <w:color w:val="000000"/>
                <w:sz w:val="16"/>
                <w:szCs w:val="16"/>
              </w:rPr>
            </w:pPr>
          </w:p>
        </w:tc>
      </w:tr>
    </w:tbl>
    <w:p w14:paraId="717F7B3A" w14:textId="77777777" w:rsidR="00BE5A6D" w:rsidRDefault="00BE5A6D" w:rsidP="00BB13B9">
      <w:pPr>
        <w:ind w:left="360"/>
        <w:jc w:val="center"/>
        <w:rPr>
          <w:rFonts w:cs="AvenirNext LT Pro Medium"/>
          <w:color w:val="000000"/>
          <w:sz w:val="16"/>
          <w:szCs w:val="16"/>
        </w:rPr>
      </w:pPr>
      <w:r>
        <w:rPr>
          <w:noProof/>
        </w:rPr>
        <w:drawing>
          <wp:inline distT="0" distB="0" distL="0" distR="0" wp14:anchorId="68952A82" wp14:editId="3D8CB364">
            <wp:extent cx="2059388" cy="20829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5765" cy="2129831"/>
                    </a:xfrm>
                    <a:prstGeom prst="rect">
                      <a:avLst/>
                    </a:prstGeom>
                  </pic:spPr>
                </pic:pic>
              </a:graphicData>
            </a:graphic>
          </wp:inline>
        </w:drawing>
      </w:r>
      <w:r w:rsidRPr="00BE5A6D">
        <w:rPr>
          <w:rFonts w:cs="AvenirNext LT Pro Medium"/>
          <w:color w:val="000000"/>
          <w:sz w:val="16"/>
          <w:szCs w:val="16"/>
        </w:rPr>
        <w:t xml:space="preserve"> </w:t>
      </w:r>
    </w:p>
    <w:p w14:paraId="42A75568" w14:textId="77777777" w:rsidR="00D47C8E" w:rsidRDefault="00BE5A6D" w:rsidP="00BB13B9">
      <w:pPr>
        <w:ind w:left="360"/>
        <w:jc w:val="center"/>
        <w:rPr>
          <w:rFonts w:cs="AvenirNext LT Pro Medium"/>
          <w:color w:val="000000"/>
          <w:sz w:val="16"/>
          <w:szCs w:val="16"/>
        </w:rPr>
      </w:pPr>
      <w:r>
        <w:rPr>
          <w:rFonts w:cs="AvenirNext LT Pro Medium"/>
          <w:color w:val="000000"/>
          <w:sz w:val="16"/>
          <w:szCs w:val="16"/>
        </w:rPr>
        <w:t xml:space="preserve">Figure 3: </w:t>
      </w:r>
      <w:r w:rsidRPr="00BB13B9">
        <w:rPr>
          <w:rFonts w:cs="AvenirNext LT Pro Medium"/>
          <w:color w:val="000000"/>
          <w:sz w:val="16"/>
          <w:szCs w:val="16"/>
        </w:rPr>
        <w:t>Market share of demand for hydrogen in 2050 for different industries. Source: DNV GL</w:t>
      </w:r>
    </w:p>
    <w:p w14:paraId="28846201" w14:textId="77777777" w:rsidR="00D47C8E" w:rsidRDefault="00D47C8E">
      <w:pPr>
        <w:spacing w:after="160"/>
        <w:rPr>
          <w:rFonts w:cs="AvenirNext LT Pro Medium"/>
          <w:color w:val="000000"/>
          <w:sz w:val="16"/>
          <w:szCs w:val="16"/>
        </w:rPr>
      </w:pPr>
      <w:r>
        <w:rPr>
          <w:rFonts w:cs="AvenirNext LT Pro Medium"/>
          <w:color w:val="000000"/>
          <w:sz w:val="16"/>
          <w:szCs w:val="16"/>
        </w:rPr>
        <w:br w:type="page"/>
      </w:r>
    </w:p>
    <w:p w14:paraId="79B0976D" w14:textId="30DCA19C" w:rsidR="00D47C8E" w:rsidRPr="00E45B51" w:rsidRDefault="00E45B51" w:rsidP="00D47C8E">
      <w:pPr>
        <w:ind w:left="360"/>
        <w:jc w:val="both"/>
        <w:rPr>
          <w:rStyle w:val="IntenseReference"/>
          <w:sz w:val="32"/>
          <w:szCs w:val="32"/>
        </w:rPr>
      </w:pPr>
      <w:r>
        <w:rPr>
          <w:rStyle w:val="IntenseReference"/>
          <w:sz w:val="32"/>
          <w:szCs w:val="32"/>
        </w:rPr>
        <w:lastRenderedPageBreak/>
        <w:t>BIOGRAPHY</w:t>
      </w:r>
      <w:r w:rsidRPr="00E45B51">
        <w:rPr>
          <w:rStyle w:val="IntenseReference"/>
          <w:sz w:val="32"/>
          <w:szCs w:val="32"/>
        </w:rPr>
        <w:t>— (</w:t>
      </w:r>
      <w:r>
        <w:rPr>
          <w:rStyle w:val="IntenseReference"/>
          <w:rFonts w:hint="eastAsia"/>
          <w:sz w:val="32"/>
          <w:szCs w:val="32"/>
        </w:rPr>
        <w:t>t</w:t>
      </w:r>
      <w:r w:rsidRPr="00E45B51">
        <w:rPr>
          <w:rStyle w:val="IntenseReference"/>
          <w:sz w:val="32"/>
          <w:szCs w:val="32"/>
        </w:rPr>
        <w:t>o be determined)</w:t>
      </w:r>
    </w:p>
    <w:p w14:paraId="06AE335A" w14:textId="77777777" w:rsidR="00D47C8E" w:rsidRDefault="00D47C8E" w:rsidP="00D47C8E">
      <w:pPr>
        <w:ind w:left="360"/>
        <w:jc w:val="both"/>
        <w:rPr>
          <w:rStyle w:val="IntenseReference"/>
          <w:sz w:val="32"/>
          <w:szCs w:val="32"/>
        </w:rPr>
      </w:pPr>
    </w:p>
    <w:p w14:paraId="63F4B5D2" w14:textId="77777777" w:rsidR="00D47C8E" w:rsidRPr="00D47C8E" w:rsidRDefault="00D47C8E" w:rsidP="00D47C8E">
      <w:pPr>
        <w:ind w:left="360"/>
        <w:jc w:val="both"/>
        <w:rPr>
          <w:rStyle w:val="IntenseReference"/>
          <w:sz w:val="32"/>
          <w:szCs w:val="32"/>
        </w:rPr>
      </w:pPr>
      <w:r w:rsidRPr="00D47C8E">
        <w:rPr>
          <w:noProof/>
        </w:rPr>
        <w:drawing>
          <wp:anchor distT="0" distB="0" distL="114300" distR="114300" simplePos="0" relativeHeight="251658240" behindDoc="0" locked="0" layoutInCell="1" allowOverlap="1" wp14:anchorId="44FEC59E" wp14:editId="7CF02652">
            <wp:simplePos x="0" y="0"/>
            <wp:positionH relativeFrom="column">
              <wp:posOffset>294640</wp:posOffset>
            </wp:positionH>
            <wp:positionV relativeFrom="paragraph">
              <wp:posOffset>74930</wp:posOffset>
            </wp:positionV>
            <wp:extent cx="1347470" cy="1800225"/>
            <wp:effectExtent l="0" t="0" r="508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47470" cy="1800225"/>
                    </a:xfrm>
                    <a:prstGeom prst="rect">
                      <a:avLst/>
                    </a:prstGeom>
                  </pic:spPr>
                </pic:pic>
              </a:graphicData>
            </a:graphic>
            <wp14:sizeRelH relativeFrom="margin">
              <wp14:pctWidth>0</wp14:pctWidth>
            </wp14:sizeRelH>
            <wp14:sizeRelV relativeFrom="margin">
              <wp14:pctHeight>0</wp14:pctHeight>
            </wp14:sizeRelV>
          </wp:anchor>
        </w:drawing>
      </w:r>
    </w:p>
    <w:p w14:paraId="3DF026FC" w14:textId="77777777" w:rsidR="00D47C8E" w:rsidRPr="00D47C8E" w:rsidRDefault="00D47C8E" w:rsidP="00D47C8E">
      <w:pPr>
        <w:ind w:left="3600"/>
        <w:jc w:val="both"/>
        <w:rPr>
          <w:rFonts w:ascii="Helvetica" w:hAnsi="Helvetica" w:cs="Segoe UI"/>
          <w:b/>
          <w:color w:val="333333"/>
          <w:sz w:val="32"/>
          <w:szCs w:val="21"/>
        </w:rPr>
      </w:pPr>
      <w:proofErr w:type="spellStart"/>
      <w:r w:rsidRPr="00D47C8E">
        <w:rPr>
          <w:rFonts w:ascii="Helvetica" w:hAnsi="Helvetica" w:cs="Segoe UI"/>
          <w:b/>
          <w:color w:val="333333"/>
          <w:sz w:val="32"/>
          <w:szCs w:val="21"/>
        </w:rPr>
        <w:t>Noort</w:t>
      </w:r>
      <w:proofErr w:type="spellEnd"/>
      <w:r w:rsidRPr="00D47C8E">
        <w:rPr>
          <w:rFonts w:ascii="Helvetica" w:hAnsi="Helvetica" w:cs="Segoe UI"/>
          <w:b/>
          <w:color w:val="333333"/>
          <w:sz w:val="32"/>
          <w:szCs w:val="21"/>
        </w:rPr>
        <w:t>, Albert van den</w:t>
      </w:r>
    </w:p>
    <w:p w14:paraId="41146864" w14:textId="77777777" w:rsidR="00D47C8E" w:rsidRDefault="00D47C8E" w:rsidP="00D47C8E">
      <w:pPr>
        <w:ind w:left="3600"/>
        <w:jc w:val="both"/>
        <w:rPr>
          <w:rStyle w:val="ng-binding"/>
          <w:rFonts w:ascii="AvenirDemi" w:hAnsi="AvenirDemi" w:cs="Segoe UI" w:hint="eastAsia"/>
          <w:color w:val="333333"/>
          <w:sz w:val="21"/>
          <w:szCs w:val="21"/>
        </w:rPr>
      </w:pPr>
    </w:p>
    <w:p w14:paraId="46F58BCF" w14:textId="77777777" w:rsidR="00D47C8E" w:rsidRPr="00D47C8E" w:rsidRDefault="00D47C8E" w:rsidP="00D47C8E">
      <w:pPr>
        <w:ind w:left="3600"/>
        <w:jc w:val="both"/>
        <w:rPr>
          <w:rStyle w:val="ng-binding"/>
          <w:rFonts w:cs="Segoe UI"/>
          <w:color w:val="333333"/>
          <w:sz w:val="24"/>
          <w:szCs w:val="21"/>
        </w:rPr>
      </w:pPr>
      <w:r w:rsidRPr="00D47C8E">
        <w:rPr>
          <w:rStyle w:val="ng-binding"/>
          <w:rFonts w:cs="Segoe UI"/>
          <w:color w:val="333333"/>
          <w:sz w:val="24"/>
          <w:szCs w:val="21"/>
        </w:rPr>
        <w:t>Senior consultant</w:t>
      </w:r>
    </w:p>
    <w:p w14:paraId="550168FA" w14:textId="77777777" w:rsidR="00D47C8E" w:rsidRPr="00D47C8E" w:rsidRDefault="007A5A39" w:rsidP="00D47C8E">
      <w:pPr>
        <w:ind w:left="3600"/>
        <w:jc w:val="both"/>
        <w:rPr>
          <w:rStyle w:val="Strong"/>
          <w:rFonts w:asciiTheme="minorHAnsi" w:hAnsiTheme="minorHAnsi" w:cs="Segoe UI"/>
          <w:color w:val="333333"/>
          <w:sz w:val="24"/>
          <w:szCs w:val="21"/>
        </w:rPr>
      </w:pPr>
      <w:hyperlink r:id="rId12" w:history="1">
        <w:r w:rsidR="00D47C8E" w:rsidRPr="00D47C8E">
          <w:rPr>
            <w:rStyle w:val="ng-binding"/>
            <w:rFonts w:cs="Segoe UI"/>
            <w:color w:val="000000"/>
            <w:sz w:val="24"/>
            <w:szCs w:val="21"/>
          </w:rPr>
          <w:t>Flow &amp; Fuel Advisory</w:t>
        </w:r>
      </w:hyperlink>
    </w:p>
    <w:p w14:paraId="3225246D" w14:textId="77777777" w:rsidR="00D47C8E" w:rsidRPr="00D47C8E" w:rsidRDefault="00D47C8E" w:rsidP="00D47C8E">
      <w:pPr>
        <w:ind w:left="3600"/>
        <w:jc w:val="both"/>
        <w:rPr>
          <w:rStyle w:val="Strong"/>
          <w:rFonts w:asciiTheme="minorHAnsi" w:hAnsiTheme="minorHAnsi" w:cs="Segoe UI"/>
          <w:color w:val="333333"/>
          <w:sz w:val="24"/>
          <w:szCs w:val="21"/>
        </w:rPr>
      </w:pPr>
    </w:p>
    <w:p w14:paraId="55F328C3" w14:textId="77777777" w:rsidR="00D47C8E" w:rsidRPr="00D47C8E" w:rsidRDefault="00D47C8E" w:rsidP="00D47C8E">
      <w:pPr>
        <w:ind w:left="3600"/>
        <w:jc w:val="both"/>
        <w:rPr>
          <w:rStyle w:val="ng-binding"/>
          <w:rFonts w:cs="Segoe UI"/>
          <w:color w:val="333333"/>
          <w:sz w:val="24"/>
          <w:szCs w:val="21"/>
        </w:rPr>
      </w:pPr>
      <w:r w:rsidRPr="00D47C8E">
        <w:rPr>
          <w:rStyle w:val="ng-binding"/>
          <w:rFonts w:cs="Segoe UI"/>
          <w:color w:val="333333"/>
          <w:sz w:val="24"/>
          <w:szCs w:val="21"/>
        </w:rPr>
        <w:t>Groningen (NLGRQ</w:t>
      </w:r>
      <w:proofErr w:type="gramStart"/>
      <w:r w:rsidRPr="00D47C8E">
        <w:rPr>
          <w:rStyle w:val="ng-binding"/>
          <w:rFonts w:cs="Segoe UI"/>
          <w:color w:val="333333"/>
          <w:sz w:val="24"/>
          <w:szCs w:val="21"/>
        </w:rPr>
        <w:t>) ,</w:t>
      </w:r>
      <w:proofErr w:type="gramEnd"/>
      <w:r w:rsidRPr="00D47C8E">
        <w:rPr>
          <w:rStyle w:val="ng-binding"/>
          <w:rFonts w:cs="Segoe UI"/>
          <w:color w:val="333333"/>
          <w:sz w:val="24"/>
          <w:szCs w:val="21"/>
        </w:rPr>
        <w:t xml:space="preserve"> Netherlands</w:t>
      </w:r>
    </w:p>
    <w:p w14:paraId="6C6F9F66" w14:textId="77777777" w:rsidR="00D47C8E" w:rsidRPr="00D47C8E" w:rsidRDefault="007A5A39" w:rsidP="00D47C8E">
      <w:pPr>
        <w:ind w:left="3600"/>
        <w:jc w:val="both"/>
        <w:rPr>
          <w:rFonts w:cs="Segoe UI"/>
          <w:color w:val="333333"/>
          <w:sz w:val="24"/>
          <w:szCs w:val="21"/>
        </w:rPr>
      </w:pPr>
      <w:hyperlink r:id="rId13" w:history="1">
        <w:r w:rsidR="00D47C8E" w:rsidRPr="00D47C8E">
          <w:rPr>
            <w:rStyle w:val="Hyperlink"/>
            <w:rFonts w:cs="Segoe UI"/>
            <w:sz w:val="24"/>
            <w:szCs w:val="21"/>
          </w:rPr>
          <w:t>Albert.vandenNoort@dnvgl.com</w:t>
        </w:r>
      </w:hyperlink>
    </w:p>
    <w:p w14:paraId="1142EEBD" w14:textId="77777777" w:rsidR="00D47C8E" w:rsidRDefault="00D47C8E" w:rsidP="00D47C8E">
      <w:pPr>
        <w:ind w:left="360"/>
        <w:jc w:val="both"/>
        <w:rPr>
          <w:rFonts w:ascii="Helvetica" w:hAnsi="Helvetica" w:cs="Segoe UI"/>
          <w:color w:val="333333"/>
          <w:sz w:val="21"/>
          <w:szCs w:val="21"/>
        </w:rPr>
      </w:pPr>
    </w:p>
    <w:p w14:paraId="4FCD84AD" w14:textId="77777777" w:rsidR="00D47C8E" w:rsidRDefault="00D47C8E" w:rsidP="00D47C8E">
      <w:pPr>
        <w:jc w:val="both"/>
        <w:rPr>
          <w:rFonts w:ascii="Helvetica" w:hAnsi="Helvetica" w:cs="Segoe UI"/>
          <w:color w:val="333333"/>
          <w:sz w:val="21"/>
          <w:szCs w:val="21"/>
        </w:rPr>
      </w:pPr>
    </w:p>
    <w:p w14:paraId="1A67CDA5" w14:textId="77777777" w:rsidR="00D47C8E" w:rsidRDefault="00D47C8E" w:rsidP="00D47C8E">
      <w:pPr>
        <w:jc w:val="both"/>
        <w:rPr>
          <w:rFonts w:ascii="Helvetica" w:hAnsi="Helvetica" w:cs="Segoe UI"/>
          <w:color w:val="333333"/>
          <w:sz w:val="21"/>
          <w:szCs w:val="21"/>
        </w:rPr>
      </w:pPr>
    </w:p>
    <w:p w14:paraId="1B4902E4" w14:textId="77777777" w:rsidR="00ED00DC" w:rsidRPr="00D47C8E" w:rsidRDefault="00D47C8E" w:rsidP="00D47C8E">
      <w:pPr>
        <w:ind w:left="360"/>
        <w:jc w:val="both"/>
        <w:rPr>
          <w:rFonts w:cs="AvenirNext LT Pro Medium"/>
          <w:color w:val="000000"/>
          <w:sz w:val="20"/>
          <w:szCs w:val="16"/>
        </w:rPr>
      </w:pPr>
      <w:r w:rsidRPr="00D47C8E">
        <w:rPr>
          <w:rFonts w:cs="Segoe UI"/>
          <w:color w:val="333333"/>
          <w:sz w:val="24"/>
          <w:szCs w:val="21"/>
        </w:rPr>
        <w:t xml:space="preserve">Albert van den </w:t>
      </w:r>
      <w:proofErr w:type="spellStart"/>
      <w:r w:rsidRPr="00D47C8E">
        <w:rPr>
          <w:rFonts w:cs="Segoe UI"/>
          <w:color w:val="333333"/>
          <w:sz w:val="24"/>
          <w:szCs w:val="21"/>
        </w:rPr>
        <w:t>Noort</w:t>
      </w:r>
      <w:proofErr w:type="spellEnd"/>
      <w:r w:rsidRPr="00D47C8E">
        <w:rPr>
          <w:rFonts w:cs="Segoe UI"/>
          <w:color w:val="333333"/>
          <w:sz w:val="24"/>
          <w:szCs w:val="21"/>
        </w:rPr>
        <w:t xml:space="preserve"> holds a Master of Science and PhD degree in respectively Chemical Engineering and Applied Physics. His PhD was an extension of his </w:t>
      </w:r>
      <w:proofErr w:type="gramStart"/>
      <w:r w:rsidRPr="00D47C8E">
        <w:rPr>
          <w:rFonts w:cs="Segoe UI"/>
          <w:color w:val="333333"/>
          <w:sz w:val="24"/>
          <w:szCs w:val="21"/>
        </w:rPr>
        <w:t>M</w:t>
      </w:r>
      <w:bookmarkStart w:id="2" w:name="_GoBack"/>
      <w:bookmarkEnd w:id="2"/>
      <w:r w:rsidRPr="00D47C8E">
        <w:rPr>
          <w:rFonts w:cs="Segoe UI"/>
          <w:color w:val="333333"/>
          <w:sz w:val="24"/>
          <w:szCs w:val="21"/>
        </w:rPr>
        <w:t>asters</w:t>
      </w:r>
      <w:proofErr w:type="gramEnd"/>
      <w:r w:rsidRPr="00D47C8E">
        <w:rPr>
          <w:rFonts w:cs="Segoe UI"/>
          <w:color w:val="333333"/>
          <w:sz w:val="24"/>
          <w:szCs w:val="21"/>
        </w:rPr>
        <w:t xml:space="preserve"> work at the University of Twente, where he studied complex fluids by means of particle based simulation methods using statistical thermodynamics. He joined DNV GL in 2009, as a specialist and project manager. Since 2011 he has focused mainly on the topic 'Smart Energy Systems'. Albert coordinated the Smart Energy team of DNV GL in his role as Head of Section. Currently he works as senior consultant in the field of energy transition with a special focus on the role of hydrogen.</w:t>
      </w:r>
    </w:p>
    <w:sectPr w:rsidR="00ED00DC" w:rsidRPr="00D47C8E" w:rsidSect="00CC5013">
      <w:headerReference w:type="default" r:id="rId14"/>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FE07B" w14:textId="77777777" w:rsidR="007A5A39" w:rsidRDefault="007A5A39" w:rsidP="00E7412E">
      <w:pPr>
        <w:spacing w:line="240" w:lineRule="auto"/>
      </w:pPr>
      <w:r>
        <w:separator/>
      </w:r>
    </w:p>
  </w:endnote>
  <w:endnote w:type="continuationSeparator" w:id="0">
    <w:p w14:paraId="3A589738" w14:textId="77777777" w:rsidR="007A5A39" w:rsidRDefault="007A5A39" w:rsidP="00E74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Next LT Pro Regular">
    <w:altName w:val="微软雅黑"/>
    <w:panose1 w:val="00000000000000000000"/>
    <w:charset w:val="86"/>
    <w:family w:val="swiss"/>
    <w:notTrueType/>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venirDemi">
    <w:altName w:val="Calibri"/>
    <w:charset w:val="00"/>
    <w:family w:val="auto"/>
    <w:pitch w:val="default"/>
  </w:font>
  <w:font w:name="AvenirNext LT Pro Medium">
    <w:altName w:val="AvenirNext LT Pro Medium"/>
    <w:panose1 w:val="00000000000000000000"/>
    <w:charset w:val="86"/>
    <w:family w:val="swiss"/>
    <w:notTrueType/>
    <w:pitch w:val="default"/>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5688"/>
      <w:gridCol w:w="207"/>
      <w:gridCol w:w="2745"/>
    </w:tblGrid>
    <w:tr w:rsidR="007F3C90" w14:paraId="7A2BDC75" w14:textId="77777777" w:rsidTr="00E96DB3">
      <w:tc>
        <w:tcPr>
          <w:tcW w:w="6311" w:type="dxa"/>
          <w:tcBorders>
            <w:top w:val="single" w:sz="2" w:space="0" w:color="5B9BD5" w:themeColor="accent5"/>
          </w:tcBorders>
          <w:shd w:val="clear" w:color="auto" w:fill="auto"/>
          <w:vAlign w:val="bottom"/>
        </w:tcPr>
        <w:p w14:paraId="1356F4D7" w14:textId="13085D2F" w:rsidR="007F3C90" w:rsidRPr="00335B42" w:rsidRDefault="007F3C90" w:rsidP="007F3C90">
          <w:pPr>
            <w:pStyle w:val="Footer"/>
            <w:rPr>
              <w:lang w:val="pt-BR"/>
            </w:rPr>
          </w:pPr>
          <w:r w:rsidRPr="00335B42">
            <w:rPr>
              <w:lang w:val="pt-BR"/>
            </w:rPr>
            <w:t xml:space="preserve">DNV GL   </w:t>
          </w:r>
          <w:r w:rsidR="00246F36" w:rsidRPr="00246F36">
            <w:rPr>
              <w:lang w:val="pt-BR"/>
            </w:rPr>
            <w:t>– www.dnvgl.com</w:t>
          </w:r>
        </w:p>
      </w:tc>
      <w:tc>
        <w:tcPr>
          <w:tcW w:w="227" w:type="dxa"/>
          <w:tcBorders>
            <w:top w:val="single" w:sz="2" w:space="0" w:color="5B9BD5" w:themeColor="accent5"/>
          </w:tcBorders>
          <w:shd w:val="clear" w:color="auto" w:fill="auto"/>
        </w:tcPr>
        <w:p w14:paraId="09FB9607" w14:textId="77777777" w:rsidR="007F3C90" w:rsidRPr="00335B42" w:rsidRDefault="007F3C90" w:rsidP="007F3C90">
          <w:pPr>
            <w:pStyle w:val="Footer"/>
            <w:rPr>
              <w:lang w:val="pt-BR"/>
            </w:rPr>
          </w:pPr>
        </w:p>
      </w:tc>
      <w:tc>
        <w:tcPr>
          <w:tcW w:w="3045" w:type="dxa"/>
          <w:tcBorders>
            <w:top w:val="single" w:sz="2" w:space="0" w:color="5B9BD5" w:themeColor="accent5"/>
          </w:tcBorders>
          <w:shd w:val="clear" w:color="auto" w:fill="auto"/>
          <w:vAlign w:val="bottom"/>
        </w:tcPr>
        <w:p w14:paraId="13B74DAF" w14:textId="77777777" w:rsidR="007F3C90" w:rsidRPr="003F3A84" w:rsidRDefault="007F3C90" w:rsidP="007F3C90">
          <w:pPr>
            <w:pStyle w:val="Footer"/>
            <w:jc w:val="right"/>
          </w:pPr>
          <w:r>
            <w:t xml:space="preserve"> </w:t>
          </w:r>
        </w:p>
      </w:tc>
    </w:tr>
  </w:tbl>
  <w:p w14:paraId="7FB562F2" w14:textId="77777777" w:rsidR="007F3C90" w:rsidRDefault="007F3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F579C" w14:textId="77777777" w:rsidR="007A5A39" w:rsidRDefault="007A5A39" w:rsidP="00E7412E">
      <w:pPr>
        <w:spacing w:line="240" w:lineRule="auto"/>
      </w:pPr>
      <w:r>
        <w:separator/>
      </w:r>
    </w:p>
  </w:footnote>
  <w:footnote w:type="continuationSeparator" w:id="0">
    <w:p w14:paraId="341F70E7" w14:textId="77777777" w:rsidR="007A5A39" w:rsidRDefault="007A5A39" w:rsidP="00E7412E">
      <w:pPr>
        <w:spacing w:line="240" w:lineRule="auto"/>
      </w:pPr>
      <w:r>
        <w:continuationSeparator/>
      </w:r>
    </w:p>
  </w:footnote>
  <w:footnote w:id="1">
    <w:p w14:paraId="72041F0F" w14:textId="77777777" w:rsidR="003766F5" w:rsidRDefault="003766F5" w:rsidP="00F91089">
      <w:pPr>
        <w:rPr>
          <w:noProof/>
          <w:sz w:val="24"/>
          <w:szCs w:val="24"/>
        </w:rPr>
      </w:pPr>
      <w:r>
        <w:rPr>
          <w:rStyle w:val="FootnoteReference"/>
        </w:rPr>
        <w:footnoteRef/>
      </w:r>
      <w:r>
        <w:t xml:space="preserve"> </w:t>
      </w:r>
      <w:r>
        <w:fldChar w:fldCharType="begin"/>
      </w:r>
      <w:r>
        <w:instrText xml:space="preserve"> </w:instrText>
      </w:r>
      <w:r>
        <w:rPr>
          <w:rFonts w:hint="eastAsia"/>
        </w:rPr>
        <w:instrText>BIBLIOGRAPHY  \l 2052</w:instrText>
      </w:r>
      <w:r>
        <w:instrText xml:space="preserve"> </w:instrText>
      </w:r>
      <w:r>
        <w:fldChar w:fldCharType="separate"/>
      </w:r>
      <w:r>
        <w:rPr>
          <w:rFonts w:hint="eastAsia"/>
          <w:noProof/>
        </w:rPr>
        <w:t>“</w:t>
      </w:r>
      <w:r>
        <w:rPr>
          <w:rFonts w:hint="eastAsia"/>
          <w:noProof/>
        </w:rPr>
        <w:t>2018 Energy Transition Outlook: A global and regional forecast to 2050.</w:t>
      </w:r>
      <w:r>
        <w:rPr>
          <w:rFonts w:hint="eastAsia"/>
          <w:noProof/>
        </w:rPr>
        <w:t>”</w:t>
      </w:r>
      <w:r>
        <w:rPr>
          <w:rFonts w:hint="eastAsia"/>
          <w:noProof/>
        </w:rPr>
        <w:t xml:space="preserve"> DNV GL. 2018. https://eto.dnvgl.com/2018.</w:t>
      </w:r>
    </w:p>
    <w:p w14:paraId="23288115" w14:textId="77777777" w:rsidR="003766F5" w:rsidRDefault="003766F5" w:rsidP="00F91089">
      <w:r>
        <w:fldChar w:fldCharType="end"/>
      </w:r>
    </w:p>
  </w:footnote>
  <w:footnote w:id="2">
    <w:p w14:paraId="63ECB534" w14:textId="77777777" w:rsidR="00ED00DC" w:rsidRDefault="00ED00DC" w:rsidP="00BE5A6D">
      <w:r>
        <w:rPr>
          <w:rStyle w:val="FootnoteReference"/>
        </w:rPr>
        <w:footnoteRef/>
      </w:r>
      <w:r>
        <w:t xml:space="preserve"> </w:t>
      </w:r>
      <w:r w:rsidRPr="001C08B5">
        <w:rPr>
          <w:rFonts w:hint="eastAsia"/>
        </w:rPr>
        <w:t>‘</w:t>
      </w:r>
      <w:r w:rsidRPr="001C08B5">
        <w:t>Climate change 2014: Mitigation of climate change. Contribution of working group III to the fifth assessment report of the Intergovernmental Panel on Climate Change’, IPCC (2014), Cambridge University Press, Cambridge, UK, and New York, NY, US. www.ipcc.ch/report/ar5/wg3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1796" w14:textId="77777777" w:rsidR="007F3C90" w:rsidRDefault="007F3C90">
    <w:pPr>
      <w:pStyle w:val="Header"/>
    </w:pPr>
    <w:r>
      <w:rPr>
        <w:noProof/>
        <w:lang w:val="en-SG"/>
      </w:rPr>
      <w:drawing>
        <wp:anchor distT="0" distB="0" distL="114300" distR="114300" simplePos="0" relativeHeight="251660288" behindDoc="0" locked="0" layoutInCell="0" allowOverlap="1" wp14:anchorId="13FE5ECF" wp14:editId="2087F12F">
          <wp:simplePos x="0" y="0"/>
          <wp:positionH relativeFrom="margin">
            <wp:posOffset>0</wp:posOffset>
          </wp:positionH>
          <wp:positionV relativeFrom="page">
            <wp:posOffset>457200</wp:posOffset>
          </wp:positionV>
          <wp:extent cx="1195070" cy="161925"/>
          <wp:effectExtent l="0" t="0" r="508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161925"/>
                  </a:xfrm>
                  <a:prstGeom prst="rect">
                    <a:avLst/>
                  </a:prstGeom>
                  <a:noFill/>
                </pic:spPr>
              </pic:pic>
            </a:graphicData>
          </a:graphic>
        </wp:anchor>
      </w:drawing>
    </w:r>
    <w:r>
      <w:rPr>
        <w:noProof/>
        <w:lang w:val="en-SG"/>
      </w:rPr>
      <w:drawing>
        <wp:anchor distT="0" distB="0" distL="114300" distR="114300" simplePos="0" relativeHeight="251658240" behindDoc="0" locked="0" layoutInCell="1" allowOverlap="1" wp14:anchorId="1A3C6494" wp14:editId="19EB46B4">
          <wp:simplePos x="0" y="0"/>
          <wp:positionH relativeFrom="column">
            <wp:posOffset>0</wp:posOffset>
          </wp:positionH>
          <wp:positionV relativeFrom="paragraph">
            <wp:posOffset>-200025</wp:posOffset>
          </wp:positionV>
          <wp:extent cx="5481100" cy="344805"/>
          <wp:effectExtent l="0" t="0" r="5715" b="0"/>
          <wp:wrapNone/>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490557" cy="34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B693"/>
    <w:multiLevelType w:val="hybridMultilevel"/>
    <w:tmpl w:val="6C7736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C23585"/>
    <w:multiLevelType w:val="hybridMultilevel"/>
    <w:tmpl w:val="04F2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B5B1D"/>
    <w:multiLevelType w:val="hybridMultilevel"/>
    <w:tmpl w:val="43603EC4"/>
    <w:lvl w:ilvl="0" w:tplc="523644FA">
      <w:start w:val="1"/>
      <w:numFmt w:val="bullet"/>
      <w:lvlText w:val=""/>
      <w:lvlJc w:val="left"/>
      <w:pPr>
        <w:tabs>
          <w:tab w:val="num" w:pos="720"/>
        </w:tabs>
        <w:ind w:left="720" w:hanging="360"/>
      </w:pPr>
      <w:rPr>
        <w:rFonts w:ascii="Wingdings" w:hAnsi="Wingdings" w:hint="default"/>
      </w:rPr>
    </w:lvl>
    <w:lvl w:ilvl="1" w:tplc="77E88464" w:tentative="1">
      <w:start w:val="1"/>
      <w:numFmt w:val="bullet"/>
      <w:lvlText w:val=""/>
      <w:lvlJc w:val="left"/>
      <w:pPr>
        <w:tabs>
          <w:tab w:val="num" w:pos="1440"/>
        </w:tabs>
        <w:ind w:left="1440" w:hanging="360"/>
      </w:pPr>
      <w:rPr>
        <w:rFonts w:ascii="Wingdings" w:hAnsi="Wingdings" w:hint="default"/>
      </w:rPr>
    </w:lvl>
    <w:lvl w:ilvl="2" w:tplc="5CB03D9E" w:tentative="1">
      <w:start w:val="1"/>
      <w:numFmt w:val="bullet"/>
      <w:lvlText w:val=""/>
      <w:lvlJc w:val="left"/>
      <w:pPr>
        <w:tabs>
          <w:tab w:val="num" w:pos="2160"/>
        </w:tabs>
        <w:ind w:left="2160" w:hanging="360"/>
      </w:pPr>
      <w:rPr>
        <w:rFonts w:ascii="Wingdings" w:hAnsi="Wingdings" w:hint="default"/>
      </w:rPr>
    </w:lvl>
    <w:lvl w:ilvl="3" w:tplc="44E463DE" w:tentative="1">
      <w:start w:val="1"/>
      <w:numFmt w:val="bullet"/>
      <w:lvlText w:val=""/>
      <w:lvlJc w:val="left"/>
      <w:pPr>
        <w:tabs>
          <w:tab w:val="num" w:pos="2880"/>
        </w:tabs>
        <w:ind w:left="2880" w:hanging="360"/>
      </w:pPr>
      <w:rPr>
        <w:rFonts w:ascii="Wingdings" w:hAnsi="Wingdings" w:hint="default"/>
      </w:rPr>
    </w:lvl>
    <w:lvl w:ilvl="4" w:tplc="B32C4CB8" w:tentative="1">
      <w:start w:val="1"/>
      <w:numFmt w:val="bullet"/>
      <w:lvlText w:val=""/>
      <w:lvlJc w:val="left"/>
      <w:pPr>
        <w:tabs>
          <w:tab w:val="num" w:pos="3600"/>
        </w:tabs>
        <w:ind w:left="3600" w:hanging="360"/>
      </w:pPr>
      <w:rPr>
        <w:rFonts w:ascii="Wingdings" w:hAnsi="Wingdings" w:hint="default"/>
      </w:rPr>
    </w:lvl>
    <w:lvl w:ilvl="5" w:tplc="8674AB54" w:tentative="1">
      <w:start w:val="1"/>
      <w:numFmt w:val="bullet"/>
      <w:lvlText w:val=""/>
      <w:lvlJc w:val="left"/>
      <w:pPr>
        <w:tabs>
          <w:tab w:val="num" w:pos="4320"/>
        </w:tabs>
        <w:ind w:left="4320" w:hanging="360"/>
      </w:pPr>
      <w:rPr>
        <w:rFonts w:ascii="Wingdings" w:hAnsi="Wingdings" w:hint="default"/>
      </w:rPr>
    </w:lvl>
    <w:lvl w:ilvl="6" w:tplc="4EF4711C" w:tentative="1">
      <w:start w:val="1"/>
      <w:numFmt w:val="bullet"/>
      <w:lvlText w:val=""/>
      <w:lvlJc w:val="left"/>
      <w:pPr>
        <w:tabs>
          <w:tab w:val="num" w:pos="5040"/>
        </w:tabs>
        <w:ind w:left="5040" w:hanging="360"/>
      </w:pPr>
      <w:rPr>
        <w:rFonts w:ascii="Wingdings" w:hAnsi="Wingdings" w:hint="default"/>
      </w:rPr>
    </w:lvl>
    <w:lvl w:ilvl="7" w:tplc="D0225E9A" w:tentative="1">
      <w:start w:val="1"/>
      <w:numFmt w:val="bullet"/>
      <w:lvlText w:val=""/>
      <w:lvlJc w:val="left"/>
      <w:pPr>
        <w:tabs>
          <w:tab w:val="num" w:pos="5760"/>
        </w:tabs>
        <w:ind w:left="5760" w:hanging="360"/>
      </w:pPr>
      <w:rPr>
        <w:rFonts w:ascii="Wingdings" w:hAnsi="Wingdings" w:hint="default"/>
      </w:rPr>
    </w:lvl>
    <w:lvl w:ilvl="8" w:tplc="A24235D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CA"/>
    <w:rsid w:val="001C08B5"/>
    <w:rsid w:val="00213773"/>
    <w:rsid w:val="00233AD7"/>
    <w:rsid w:val="00246F36"/>
    <w:rsid w:val="00283B6E"/>
    <w:rsid w:val="003006BC"/>
    <w:rsid w:val="003766F5"/>
    <w:rsid w:val="004523FB"/>
    <w:rsid w:val="004D7A9F"/>
    <w:rsid w:val="00500220"/>
    <w:rsid w:val="00523F70"/>
    <w:rsid w:val="006064E3"/>
    <w:rsid w:val="006104CA"/>
    <w:rsid w:val="006307B4"/>
    <w:rsid w:val="006F3EC6"/>
    <w:rsid w:val="00736379"/>
    <w:rsid w:val="007A5A39"/>
    <w:rsid w:val="007D5C82"/>
    <w:rsid w:val="007E5C4A"/>
    <w:rsid w:val="007F3C90"/>
    <w:rsid w:val="00846BC6"/>
    <w:rsid w:val="00857C97"/>
    <w:rsid w:val="008D7FF6"/>
    <w:rsid w:val="00903AEF"/>
    <w:rsid w:val="00911FCC"/>
    <w:rsid w:val="0094595E"/>
    <w:rsid w:val="009929C2"/>
    <w:rsid w:val="009C1E76"/>
    <w:rsid w:val="00A9723C"/>
    <w:rsid w:val="00BB13B9"/>
    <w:rsid w:val="00BE5A6D"/>
    <w:rsid w:val="00BF079D"/>
    <w:rsid w:val="00CC5013"/>
    <w:rsid w:val="00D47C8E"/>
    <w:rsid w:val="00DC401A"/>
    <w:rsid w:val="00E45B51"/>
    <w:rsid w:val="00E620BA"/>
    <w:rsid w:val="00E7289E"/>
    <w:rsid w:val="00E7412E"/>
    <w:rsid w:val="00E96DB3"/>
    <w:rsid w:val="00ED00DC"/>
    <w:rsid w:val="00F219BC"/>
    <w:rsid w:val="00F91089"/>
    <w:rsid w:val="00FB1FC2"/>
    <w:rsid w:val="00FC5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1E400"/>
  <w15:chartTrackingRefBased/>
  <w15:docId w15:val="{B5F3DA8C-8100-4052-8060-286C5F67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89E"/>
    <w:pPr>
      <w:spacing w:after="0"/>
    </w:pPr>
    <w:rPr>
      <w:sz w:val="18"/>
    </w:rPr>
  </w:style>
  <w:style w:type="paragraph" w:styleId="Heading1">
    <w:name w:val="heading 1"/>
    <w:basedOn w:val="Normal"/>
    <w:next w:val="Normal"/>
    <w:link w:val="Heading1Char"/>
    <w:uiPriority w:val="9"/>
    <w:qFormat/>
    <w:rsid w:val="00857C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66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4CA"/>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04CA"/>
    <w:rPr>
      <w:rFonts w:ascii="Segoe UI" w:hAnsi="Segoe UI" w:cs="Segoe UI"/>
      <w:sz w:val="18"/>
      <w:szCs w:val="18"/>
    </w:rPr>
  </w:style>
  <w:style w:type="paragraph" w:customStyle="1" w:styleId="Pa0">
    <w:name w:val="Pa0"/>
    <w:basedOn w:val="Normal"/>
    <w:next w:val="Normal"/>
    <w:uiPriority w:val="99"/>
    <w:rsid w:val="008D7FF6"/>
    <w:pPr>
      <w:autoSpaceDE w:val="0"/>
      <w:autoSpaceDN w:val="0"/>
      <w:adjustRightInd w:val="0"/>
      <w:spacing w:line="241" w:lineRule="atLeast"/>
    </w:pPr>
    <w:rPr>
      <w:rFonts w:ascii="AvenirNext LT Pro Regular" w:eastAsia="AvenirNext LT Pro Regular"/>
      <w:sz w:val="24"/>
      <w:szCs w:val="24"/>
    </w:rPr>
  </w:style>
  <w:style w:type="character" w:customStyle="1" w:styleId="A13">
    <w:name w:val="A13"/>
    <w:uiPriority w:val="99"/>
    <w:rsid w:val="00E7412E"/>
    <w:rPr>
      <w:rFonts w:cs="AvenirNext LT Pro Regular"/>
      <w:color w:val="000000"/>
      <w:sz w:val="20"/>
      <w:szCs w:val="20"/>
    </w:rPr>
  </w:style>
  <w:style w:type="character" w:customStyle="1" w:styleId="A14">
    <w:name w:val="A14"/>
    <w:uiPriority w:val="99"/>
    <w:rsid w:val="00E7412E"/>
    <w:rPr>
      <w:rFonts w:cs="AvenirNext LT Pro Regular"/>
      <w:color w:val="000000"/>
      <w:sz w:val="11"/>
      <w:szCs w:val="11"/>
    </w:rPr>
  </w:style>
  <w:style w:type="character" w:styleId="IntenseReference">
    <w:name w:val="Intense Reference"/>
    <w:basedOn w:val="DefaultParagraphFont"/>
    <w:uiPriority w:val="32"/>
    <w:qFormat/>
    <w:rsid w:val="009929C2"/>
    <w:rPr>
      <w:b/>
      <w:bCs/>
      <w:smallCaps/>
      <w:color w:val="4472C4" w:themeColor="accent1"/>
      <w:spacing w:val="5"/>
    </w:rPr>
  </w:style>
  <w:style w:type="character" w:styleId="IntenseEmphasis">
    <w:name w:val="Intense Emphasis"/>
    <w:basedOn w:val="DefaultParagraphFont"/>
    <w:uiPriority w:val="21"/>
    <w:qFormat/>
    <w:rsid w:val="00857C97"/>
    <w:rPr>
      <w:i/>
      <w:iCs/>
      <w:color w:val="4472C4" w:themeColor="accent1"/>
    </w:rPr>
  </w:style>
  <w:style w:type="character" w:customStyle="1" w:styleId="Heading1Char">
    <w:name w:val="Heading 1 Char"/>
    <w:basedOn w:val="DefaultParagraphFont"/>
    <w:link w:val="Heading1"/>
    <w:uiPriority w:val="9"/>
    <w:rsid w:val="00857C97"/>
    <w:rPr>
      <w:rFonts w:asciiTheme="majorHAnsi" w:eastAsiaTheme="majorEastAsia" w:hAnsiTheme="majorHAnsi" w:cstheme="majorBidi"/>
      <w:color w:val="2F5496" w:themeColor="accent1" w:themeShade="BF"/>
      <w:sz w:val="32"/>
      <w:szCs w:val="32"/>
    </w:rPr>
  </w:style>
  <w:style w:type="paragraph" w:customStyle="1" w:styleId="Pa7">
    <w:name w:val="Pa7"/>
    <w:basedOn w:val="Normal"/>
    <w:next w:val="Normal"/>
    <w:uiPriority w:val="99"/>
    <w:rsid w:val="00DC401A"/>
    <w:pPr>
      <w:autoSpaceDE w:val="0"/>
      <w:autoSpaceDN w:val="0"/>
      <w:adjustRightInd w:val="0"/>
      <w:spacing w:line="161" w:lineRule="atLeast"/>
    </w:pPr>
    <w:rPr>
      <w:rFonts w:ascii="AvenirNext LT Pro Regular" w:eastAsia="AvenirNext LT Pro Regular"/>
      <w:sz w:val="24"/>
      <w:szCs w:val="24"/>
    </w:rPr>
  </w:style>
  <w:style w:type="character" w:customStyle="1" w:styleId="A8">
    <w:name w:val="A8"/>
    <w:uiPriority w:val="99"/>
    <w:rsid w:val="00DC401A"/>
    <w:rPr>
      <w:rFonts w:cs="AvenirNext LT Pro Regular"/>
      <w:color w:val="000000"/>
      <w:sz w:val="14"/>
      <w:szCs w:val="14"/>
    </w:rPr>
  </w:style>
  <w:style w:type="paragraph" w:customStyle="1" w:styleId="Pa5">
    <w:name w:val="Pa5"/>
    <w:basedOn w:val="Normal"/>
    <w:next w:val="Normal"/>
    <w:uiPriority w:val="99"/>
    <w:rsid w:val="00DC401A"/>
    <w:pPr>
      <w:autoSpaceDE w:val="0"/>
      <w:autoSpaceDN w:val="0"/>
      <w:adjustRightInd w:val="0"/>
      <w:spacing w:line="181" w:lineRule="atLeast"/>
    </w:pPr>
    <w:rPr>
      <w:rFonts w:ascii="AvenirNext LT Pro Regular" w:eastAsia="AvenirNext LT Pro Regular"/>
      <w:sz w:val="24"/>
      <w:szCs w:val="24"/>
    </w:rPr>
  </w:style>
  <w:style w:type="paragraph" w:customStyle="1" w:styleId="Pa10">
    <w:name w:val="Pa10"/>
    <w:basedOn w:val="Normal"/>
    <w:next w:val="Normal"/>
    <w:uiPriority w:val="99"/>
    <w:rsid w:val="00DC401A"/>
    <w:pPr>
      <w:autoSpaceDE w:val="0"/>
      <w:autoSpaceDN w:val="0"/>
      <w:adjustRightInd w:val="0"/>
      <w:spacing w:line="161" w:lineRule="atLeast"/>
    </w:pPr>
    <w:rPr>
      <w:rFonts w:ascii="AvenirNext LT Pro Regular" w:eastAsia="AvenirNext LT Pro Regular"/>
      <w:sz w:val="24"/>
      <w:szCs w:val="24"/>
    </w:rPr>
  </w:style>
  <w:style w:type="character" w:customStyle="1" w:styleId="Heading2Char">
    <w:name w:val="Heading 2 Char"/>
    <w:basedOn w:val="DefaultParagraphFont"/>
    <w:link w:val="Heading2"/>
    <w:uiPriority w:val="9"/>
    <w:rsid w:val="003766F5"/>
    <w:rPr>
      <w:rFonts w:asciiTheme="majorHAnsi" w:eastAsiaTheme="majorEastAsia" w:hAnsiTheme="majorHAnsi" w:cstheme="majorBidi"/>
      <w:color w:val="2F5496" w:themeColor="accent1" w:themeShade="BF"/>
      <w:sz w:val="26"/>
      <w:szCs w:val="26"/>
    </w:rPr>
  </w:style>
  <w:style w:type="character" w:customStyle="1" w:styleId="A9">
    <w:name w:val="A9"/>
    <w:uiPriority w:val="99"/>
    <w:rsid w:val="003766F5"/>
    <w:rPr>
      <w:rFonts w:cs="AvenirNext LT Pro Regular"/>
      <w:color w:val="000000"/>
      <w:sz w:val="10"/>
      <w:szCs w:val="10"/>
    </w:rPr>
  </w:style>
  <w:style w:type="paragraph" w:styleId="EndnoteText">
    <w:name w:val="endnote text"/>
    <w:basedOn w:val="Normal"/>
    <w:link w:val="EndnoteTextChar"/>
    <w:uiPriority w:val="99"/>
    <w:semiHidden/>
    <w:unhideWhenUsed/>
    <w:rsid w:val="003766F5"/>
    <w:pPr>
      <w:spacing w:line="240" w:lineRule="auto"/>
    </w:pPr>
    <w:rPr>
      <w:sz w:val="20"/>
      <w:szCs w:val="20"/>
    </w:rPr>
  </w:style>
  <w:style w:type="character" w:customStyle="1" w:styleId="EndnoteTextChar">
    <w:name w:val="Endnote Text Char"/>
    <w:basedOn w:val="DefaultParagraphFont"/>
    <w:link w:val="EndnoteText"/>
    <w:uiPriority w:val="99"/>
    <w:semiHidden/>
    <w:rsid w:val="003766F5"/>
    <w:rPr>
      <w:sz w:val="20"/>
      <w:szCs w:val="20"/>
    </w:rPr>
  </w:style>
  <w:style w:type="character" w:styleId="EndnoteReference">
    <w:name w:val="endnote reference"/>
    <w:basedOn w:val="DefaultParagraphFont"/>
    <w:uiPriority w:val="99"/>
    <w:semiHidden/>
    <w:unhideWhenUsed/>
    <w:rsid w:val="003766F5"/>
    <w:rPr>
      <w:vertAlign w:val="superscript"/>
    </w:rPr>
  </w:style>
  <w:style w:type="paragraph" w:styleId="FootnoteText">
    <w:name w:val="footnote text"/>
    <w:basedOn w:val="Normal"/>
    <w:link w:val="FootnoteTextChar"/>
    <w:uiPriority w:val="99"/>
    <w:unhideWhenUsed/>
    <w:rsid w:val="003766F5"/>
    <w:pPr>
      <w:spacing w:line="240" w:lineRule="auto"/>
    </w:pPr>
    <w:rPr>
      <w:sz w:val="20"/>
      <w:szCs w:val="20"/>
    </w:rPr>
  </w:style>
  <w:style w:type="character" w:customStyle="1" w:styleId="FootnoteTextChar">
    <w:name w:val="Footnote Text Char"/>
    <w:basedOn w:val="DefaultParagraphFont"/>
    <w:link w:val="FootnoteText"/>
    <w:uiPriority w:val="99"/>
    <w:rsid w:val="003766F5"/>
    <w:rPr>
      <w:sz w:val="20"/>
      <w:szCs w:val="20"/>
    </w:rPr>
  </w:style>
  <w:style w:type="character" w:styleId="FootnoteReference">
    <w:name w:val="footnote reference"/>
    <w:basedOn w:val="DefaultParagraphFont"/>
    <w:uiPriority w:val="99"/>
    <w:semiHidden/>
    <w:unhideWhenUsed/>
    <w:rsid w:val="003766F5"/>
    <w:rPr>
      <w:vertAlign w:val="superscript"/>
    </w:rPr>
  </w:style>
  <w:style w:type="paragraph" w:styleId="Bibliography">
    <w:name w:val="Bibliography"/>
    <w:basedOn w:val="Normal"/>
    <w:next w:val="Normal"/>
    <w:uiPriority w:val="37"/>
    <w:unhideWhenUsed/>
    <w:rsid w:val="003766F5"/>
  </w:style>
  <w:style w:type="character" w:customStyle="1" w:styleId="A17">
    <w:name w:val="A17"/>
    <w:uiPriority w:val="99"/>
    <w:rsid w:val="00903AEF"/>
    <w:rPr>
      <w:rFonts w:ascii="AvenirNext LT Pro Regular" w:eastAsia="AvenirNext LT Pro Regular" w:cs="AvenirNext LT Pro Regular"/>
      <w:color w:val="000000"/>
      <w:sz w:val="9"/>
      <w:szCs w:val="9"/>
    </w:rPr>
  </w:style>
  <w:style w:type="paragraph" w:styleId="ListParagraph">
    <w:name w:val="List Paragraph"/>
    <w:basedOn w:val="Normal"/>
    <w:uiPriority w:val="34"/>
    <w:qFormat/>
    <w:rsid w:val="00E7289E"/>
    <w:pPr>
      <w:ind w:left="720"/>
      <w:contextualSpacing/>
    </w:pPr>
  </w:style>
  <w:style w:type="character" w:styleId="Emphasis">
    <w:name w:val="Emphasis"/>
    <w:basedOn w:val="DefaultParagraphFont"/>
    <w:uiPriority w:val="20"/>
    <w:qFormat/>
    <w:rsid w:val="00E7289E"/>
    <w:rPr>
      <w:i/>
      <w:iCs/>
    </w:rPr>
  </w:style>
  <w:style w:type="paragraph" w:customStyle="1" w:styleId="Default">
    <w:name w:val="Default"/>
    <w:rsid w:val="001C08B5"/>
    <w:pPr>
      <w:autoSpaceDE w:val="0"/>
      <w:autoSpaceDN w:val="0"/>
      <w:adjustRightInd w:val="0"/>
      <w:spacing w:after="0" w:line="240" w:lineRule="auto"/>
    </w:pPr>
    <w:rPr>
      <w:rFonts w:ascii="AvenirNext LT Pro Regular" w:eastAsia="AvenirNext LT Pro Regular" w:cs="AvenirNext LT Pro Regular"/>
      <w:color w:val="000000"/>
      <w:sz w:val="24"/>
      <w:szCs w:val="24"/>
    </w:rPr>
  </w:style>
  <w:style w:type="table" w:styleId="TableGrid">
    <w:name w:val="Table Grid"/>
    <w:basedOn w:val="TableNormal"/>
    <w:uiPriority w:val="39"/>
    <w:rsid w:val="00ED0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ED00D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15">
    <w:name w:val="Pa15"/>
    <w:basedOn w:val="Default"/>
    <w:next w:val="Default"/>
    <w:uiPriority w:val="99"/>
    <w:rsid w:val="00ED00DC"/>
    <w:pPr>
      <w:spacing w:line="201" w:lineRule="atLeast"/>
    </w:pPr>
    <w:rPr>
      <w:rFonts w:cstheme="minorBidi"/>
      <w:color w:val="auto"/>
    </w:rPr>
  </w:style>
  <w:style w:type="character" w:customStyle="1" w:styleId="A16">
    <w:name w:val="A16"/>
    <w:uiPriority w:val="99"/>
    <w:rsid w:val="00ED00DC"/>
    <w:rPr>
      <w:rFonts w:cs="AvenirNext LT Pro Regular"/>
      <w:b/>
      <w:bCs/>
      <w:color w:val="000000"/>
      <w:sz w:val="16"/>
      <w:szCs w:val="16"/>
    </w:rPr>
  </w:style>
  <w:style w:type="character" w:customStyle="1" w:styleId="A10">
    <w:name w:val="A10"/>
    <w:uiPriority w:val="99"/>
    <w:rsid w:val="00ED00DC"/>
    <w:rPr>
      <w:rFonts w:cs="AvenirNext LT Pro Regular"/>
      <w:color w:val="000000"/>
      <w:sz w:val="10"/>
      <w:szCs w:val="10"/>
    </w:rPr>
  </w:style>
  <w:style w:type="paragraph" w:styleId="BodyText">
    <w:name w:val="Body Text"/>
    <w:basedOn w:val="Normal"/>
    <w:link w:val="BodyTextChar"/>
    <w:qFormat/>
    <w:rsid w:val="007F3C90"/>
    <w:pPr>
      <w:spacing w:before="40" w:after="140" w:line="280" w:lineRule="atLeast"/>
    </w:pPr>
    <w:rPr>
      <w:rFonts w:ascii="Verdana" w:hAnsi="Verdana" w:cs="Verdana"/>
      <w:szCs w:val="18"/>
    </w:rPr>
  </w:style>
  <w:style w:type="character" w:customStyle="1" w:styleId="BodyTextChar">
    <w:name w:val="Body Text Char"/>
    <w:basedOn w:val="DefaultParagraphFont"/>
    <w:link w:val="BodyText"/>
    <w:rsid w:val="007F3C90"/>
    <w:rPr>
      <w:rFonts w:ascii="Verdana" w:hAnsi="Verdana" w:cs="Verdana"/>
      <w:sz w:val="18"/>
      <w:szCs w:val="18"/>
    </w:rPr>
  </w:style>
  <w:style w:type="paragraph" w:customStyle="1" w:styleId="DNVGL-Details">
    <w:name w:val="DNVGL-Details"/>
    <w:basedOn w:val="Normal"/>
    <w:link w:val="DNVGL-DetailsChar"/>
    <w:uiPriority w:val="99"/>
    <w:rsid w:val="007F3C90"/>
    <w:pPr>
      <w:keepLines/>
      <w:spacing w:line="280" w:lineRule="atLeast"/>
    </w:pPr>
    <w:rPr>
      <w:rFonts w:ascii="Verdana" w:hAnsi="Verdana" w:cs="Verdana"/>
      <w:noProof/>
      <w:szCs w:val="18"/>
    </w:rPr>
  </w:style>
  <w:style w:type="character" w:customStyle="1" w:styleId="DNVGL-DetailsChar">
    <w:name w:val="DNVGL-Details Char"/>
    <w:basedOn w:val="DefaultParagraphFont"/>
    <w:link w:val="DNVGL-Details"/>
    <w:uiPriority w:val="99"/>
    <w:rsid w:val="007F3C90"/>
    <w:rPr>
      <w:rFonts w:ascii="Verdana" w:hAnsi="Verdana" w:cs="Verdana"/>
      <w:noProof/>
      <w:sz w:val="18"/>
      <w:szCs w:val="18"/>
    </w:rPr>
  </w:style>
  <w:style w:type="paragraph" w:customStyle="1" w:styleId="DNVGL-Cover-ReportTitle">
    <w:name w:val="DNVGL-Cover-ReportTitle"/>
    <w:basedOn w:val="Normal"/>
    <w:link w:val="DNVGL-Cover-ReportTitleChar"/>
    <w:uiPriority w:val="99"/>
    <w:rsid w:val="007F3C90"/>
    <w:pPr>
      <w:keepNext/>
      <w:keepLines/>
      <w:spacing w:after="240" w:line="240" w:lineRule="auto"/>
      <w:contextualSpacing/>
    </w:pPr>
    <w:rPr>
      <w:rFonts w:ascii="Verdana" w:hAnsi="Verdana" w:cs="Verdana"/>
      <w:b/>
      <w:noProof/>
      <w:color w:val="00B1EC"/>
      <w:sz w:val="56"/>
      <w:szCs w:val="18"/>
    </w:rPr>
  </w:style>
  <w:style w:type="character" w:customStyle="1" w:styleId="DNVGL-Cover-ReportTitleChar">
    <w:name w:val="DNVGL-Cover-ReportTitle Char"/>
    <w:basedOn w:val="DefaultParagraphFont"/>
    <w:link w:val="DNVGL-Cover-ReportTitle"/>
    <w:uiPriority w:val="99"/>
    <w:rsid w:val="007F3C90"/>
    <w:rPr>
      <w:rFonts w:ascii="Verdana" w:hAnsi="Verdana" w:cs="Verdana"/>
      <w:b/>
      <w:noProof/>
      <w:color w:val="00B1EC"/>
      <w:sz w:val="56"/>
      <w:szCs w:val="18"/>
    </w:rPr>
  </w:style>
  <w:style w:type="paragraph" w:customStyle="1" w:styleId="DNVGL-Cover-Company">
    <w:name w:val="DNVGL-Cover-Company"/>
    <w:basedOn w:val="Normal"/>
    <w:link w:val="DNVGL-Cover-CompanyChar"/>
    <w:uiPriority w:val="99"/>
    <w:rsid w:val="007F3C90"/>
    <w:pPr>
      <w:keepNext/>
      <w:keepLines/>
      <w:spacing w:line="240" w:lineRule="auto"/>
      <w:contextualSpacing/>
    </w:pPr>
    <w:rPr>
      <w:rFonts w:ascii="Verdana" w:hAnsi="Verdana" w:cs="Verdana"/>
      <w:b/>
      <w:noProof/>
      <w:color w:val="565655"/>
      <w:sz w:val="28"/>
      <w:szCs w:val="18"/>
    </w:rPr>
  </w:style>
  <w:style w:type="character" w:customStyle="1" w:styleId="DNVGL-Cover-CompanyChar">
    <w:name w:val="DNVGL-Cover-Company Char"/>
    <w:basedOn w:val="DefaultParagraphFont"/>
    <w:link w:val="DNVGL-Cover-Company"/>
    <w:uiPriority w:val="99"/>
    <w:rsid w:val="007F3C90"/>
    <w:rPr>
      <w:rFonts w:ascii="Verdana" w:hAnsi="Verdana" w:cs="Verdana"/>
      <w:b/>
      <w:noProof/>
      <w:color w:val="565655"/>
      <w:sz w:val="28"/>
      <w:szCs w:val="18"/>
    </w:rPr>
  </w:style>
  <w:style w:type="paragraph" w:styleId="Header">
    <w:name w:val="header"/>
    <w:basedOn w:val="Normal"/>
    <w:link w:val="HeaderChar"/>
    <w:uiPriority w:val="99"/>
    <w:unhideWhenUsed/>
    <w:rsid w:val="007F3C90"/>
    <w:pPr>
      <w:tabs>
        <w:tab w:val="center" w:pos="4320"/>
        <w:tab w:val="right" w:pos="8640"/>
      </w:tabs>
      <w:spacing w:line="240" w:lineRule="auto"/>
    </w:pPr>
  </w:style>
  <w:style w:type="character" w:customStyle="1" w:styleId="HeaderChar">
    <w:name w:val="Header Char"/>
    <w:basedOn w:val="DefaultParagraphFont"/>
    <w:link w:val="Header"/>
    <w:uiPriority w:val="99"/>
    <w:rsid w:val="007F3C90"/>
    <w:rPr>
      <w:sz w:val="18"/>
    </w:rPr>
  </w:style>
  <w:style w:type="paragraph" w:styleId="Footer">
    <w:name w:val="footer"/>
    <w:basedOn w:val="Normal"/>
    <w:link w:val="FooterChar"/>
    <w:uiPriority w:val="99"/>
    <w:unhideWhenUsed/>
    <w:rsid w:val="007F3C90"/>
    <w:pPr>
      <w:tabs>
        <w:tab w:val="center" w:pos="4320"/>
        <w:tab w:val="right" w:pos="8640"/>
      </w:tabs>
      <w:spacing w:line="240" w:lineRule="auto"/>
    </w:pPr>
  </w:style>
  <w:style w:type="character" w:customStyle="1" w:styleId="FooterChar">
    <w:name w:val="Footer Char"/>
    <w:basedOn w:val="DefaultParagraphFont"/>
    <w:link w:val="Footer"/>
    <w:uiPriority w:val="99"/>
    <w:rsid w:val="007F3C90"/>
    <w:rPr>
      <w:sz w:val="18"/>
    </w:rPr>
  </w:style>
  <w:style w:type="character" w:customStyle="1" w:styleId="normaltextrun">
    <w:name w:val="normaltextrun"/>
    <w:basedOn w:val="DefaultParagraphFont"/>
    <w:rsid w:val="007F3C90"/>
  </w:style>
  <w:style w:type="character" w:styleId="Strong">
    <w:name w:val="Strong"/>
    <w:basedOn w:val="DefaultParagraphFont"/>
    <w:uiPriority w:val="22"/>
    <w:qFormat/>
    <w:rsid w:val="00D47C8E"/>
    <w:rPr>
      <w:rFonts w:ascii="AvenirDemi" w:hAnsi="AvenirDemi" w:hint="default"/>
      <w:b w:val="0"/>
      <w:bCs w:val="0"/>
    </w:rPr>
  </w:style>
  <w:style w:type="character" w:customStyle="1" w:styleId="ng-binding">
    <w:name w:val="ng-binding"/>
    <w:basedOn w:val="DefaultParagraphFont"/>
    <w:rsid w:val="00D47C8E"/>
  </w:style>
  <w:style w:type="character" w:styleId="Hyperlink">
    <w:name w:val="Hyperlink"/>
    <w:basedOn w:val="DefaultParagraphFont"/>
    <w:uiPriority w:val="99"/>
    <w:semiHidden/>
    <w:unhideWhenUsed/>
    <w:rsid w:val="00D47C8E"/>
    <w:rPr>
      <w:strike w:val="0"/>
      <w:dstrike w:val="0"/>
      <w:color w:val="000000"/>
      <w:u w:val="none"/>
      <w:effect w:val="none"/>
      <w:shd w:val="clear" w:color="auto" w:fill="auto"/>
    </w:rPr>
  </w:style>
  <w:style w:type="character" w:customStyle="1" w:styleId="workemail">
    <w:name w:val="workemail"/>
    <w:basedOn w:val="DefaultParagraphFont"/>
    <w:rsid w:val="00D4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3508">
      <w:bodyDiv w:val="1"/>
      <w:marLeft w:val="0"/>
      <w:marRight w:val="0"/>
      <w:marTop w:val="0"/>
      <w:marBottom w:val="0"/>
      <w:divBdr>
        <w:top w:val="none" w:sz="0" w:space="0" w:color="auto"/>
        <w:left w:val="none" w:sz="0" w:space="0" w:color="auto"/>
        <w:bottom w:val="none" w:sz="0" w:space="0" w:color="auto"/>
        <w:right w:val="none" w:sz="0" w:space="0" w:color="auto"/>
      </w:divBdr>
    </w:div>
    <w:div w:id="555043905">
      <w:bodyDiv w:val="1"/>
      <w:marLeft w:val="0"/>
      <w:marRight w:val="0"/>
      <w:marTop w:val="0"/>
      <w:marBottom w:val="0"/>
      <w:divBdr>
        <w:top w:val="none" w:sz="0" w:space="0" w:color="auto"/>
        <w:left w:val="none" w:sz="0" w:space="0" w:color="auto"/>
        <w:bottom w:val="none" w:sz="0" w:space="0" w:color="auto"/>
        <w:right w:val="none" w:sz="0" w:space="0" w:color="auto"/>
      </w:divBdr>
    </w:div>
    <w:div w:id="745537651">
      <w:bodyDiv w:val="1"/>
      <w:marLeft w:val="0"/>
      <w:marRight w:val="0"/>
      <w:marTop w:val="0"/>
      <w:marBottom w:val="0"/>
      <w:divBdr>
        <w:top w:val="none" w:sz="0" w:space="0" w:color="auto"/>
        <w:left w:val="none" w:sz="0" w:space="0" w:color="auto"/>
        <w:bottom w:val="none" w:sz="0" w:space="0" w:color="auto"/>
        <w:right w:val="none" w:sz="0" w:space="0" w:color="auto"/>
      </w:divBdr>
    </w:div>
    <w:div w:id="1689792738">
      <w:bodyDiv w:val="1"/>
      <w:marLeft w:val="0"/>
      <w:marRight w:val="0"/>
      <w:marTop w:val="0"/>
      <w:marBottom w:val="0"/>
      <w:divBdr>
        <w:top w:val="none" w:sz="0" w:space="0" w:color="auto"/>
        <w:left w:val="none" w:sz="0" w:space="0" w:color="auto"/>
        <w:bottom w:val="none" w:sz="0" w:space="0" w:color="auto"/>
        <w:right w:val="none" w:sz="0" w:space="0" w:color="auto"/>
      </w:divBdr>
      <w:divsChild>
        <w:div w:id="2059355920">
          <w:marLeft w:val="274"/>
          <w:marRight w:val="0"/>
          <w:marTop w:val="0"/>
          <w:marBottom w:val="60"/>
          <w:divBdr>
            <w:top w:val="none" w:sz="0" w:space="0" w:color="auto"/>
            <w:left w:val="none" w:sz="0" w:space="0" w:color="auto"/>
            <w:bottom w:val="none" w:sz="0" w:space="0" w:color="auto"/>
            <w:right w:val="none" w:sz="0" w:space="0" w:color="auto"/>
          </w:divBdr>
        </w:div>
        <w:div w:id="1656959209">
          <w:marLeft w:val="274"/>
          <w:marRight w:val="0"/>
          <w:marTop w:val="0"/>
          <w:marBottom w:val="60"/>
          <w:divBdr>
            <w:top w:val="none" w:sz="0" w:space="0" w:color="auto"/>
            <w:left w:val="none" w:sz="0" w:space="0" w:color="auto"/>
            <w:bottom w:val="none" w:sz="0" w:space="0" w:color="auto"/>
            <w:right w:val="none" w:sz="0" w:space="0" w:color="auto"/>
          </w:divBdr>
        </w:div>
      </w:divsChild>
    </w:div>
    <w:div w:id="1743718126">
      <w:bodyDiv w:val="1"/>
      <w:marLeft w:val="0"/>
      <w:marRight w:val="0"/>
      <w:marTop w:val="0"/>
      <w:marBottom w:val="0"/>
      <w:divBdr>
        <w:top w:val="none" w:sz="0" w:space="0" w:color="auto"/>
        <w:left w:val="none" w:sz="0" w:space="0" w:color="auto"/>
        <w:bottom w:val="none" w:sz="0" w:space="0" w:color="auto"/>
        <w:right w:val="none" w:sz="0" w:space="0" w:color="auto"/>
      </w:divBdr>
    </w:div>
    <w:div w:id="1848862932">
      <w:bodyDiv w:val="1"/>
      <w:marLeft w:val="0"/>
      <w:marRight w:val="0"/>
      <w:marTop w:val="0"/>
      <w:marBottom w:val="0"/>
      <w:divBdr>
        <w:top w:val="none" w:sz="0" w:space="0" w:color="auto"/>
        <w:left w:val="none" w:sz="0" w:space="0" w:color="auto"/>
        <w:bottom w:val="none" w:sz="0" w:space="0" w:color="auto"/>
        <w:right w:val="none" w:sz="0" w:space="0" w:color="auto"/>
      </w:divBdr>
    </w:div>
    <w:div w:id="18866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bert.vandenNoort@dnvg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gchart.dnvgl.com/?goto=OrgUnit,(DeptID,10,6235)"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FCE56FBA454B25B21F72AE40D618B9"/>
        <w:category>
          <w:name w:val="General"/>
          <w:gallery w:val="placeholder"/>
        </w:category>
        <w:types>
          <w:type w:val="bbPlcHdr"/>
        </w:types>
        <w:behaviors>
          <w:behavior w:val="content"/>
        </w:behaviors>
        <w:guid w:val="{CE06DA75-3D66-48FC-865D-B4585699D497}"/>
      </w:docPartPr>
      <w:docPartBody>
        <w:p w:rsidR="00F72DE5" w:rsidRDefault="004A7D18" w:rsidP="004A7D18">
          <w:pPr>
            <w:pStyle w:val="9CFCE56FBA454B25B21F72AE40D618B9"/>
          </w:pPr>
          <w:r w:rsidRPr="00555DCC">
            <w:rPr>
              <w:rStyle w:val="PlaceholderText"/>
              <w:sz w:val="16"/>
              <w:szCs w:val="16"/>
            </w:rPr>
            <w:t>[DNV GL Legal Entity]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Next LT Pro Regular">
    <w:altName w:val="微软雅黑"/>
    <w:panose1 w:val="00000000000000000000"/>
    <w:charset w:val="86"/>
    <w:family w:val="swiss"/>
    <w:notTrueType/>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venirDemi">
    <w:altName w:val="Calibri"/>
    <w:charset w:val="00"/>
    <w:family w:val="auto"/>
    <w:pitch w:val="default"/>
  </w:font>
  <w:font w:name="AvenirNext LT Pro Medium">
    <w:altName w:val="AvenirNext LT Pro Medium"/>
    <w:panose1 w:val="00000000000000000000"/>
    <w:charset w:val="86"/>
    <w:family w:val="swiss"/>
    <w:notTrueType/>
    <w:pitch w:val="default"/>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18"/>
    <w:rsid w:val="004A7D18"/>
    <w:rsid w:val="00531B28"/>
    <w:rsid w:val="009F078E"/>
    <w:rsid w:val="00A641D4"/>
    <w:rsid w:val="00F72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7D18"/>
    <w:rPr>
      <w:color w:val="808080"/>
    </w:rPr>
  </w:style>
  <w:style w:type="paragraph" w:customStyle="1" w:styleId="BC0277CBC8AE42E1BD95097FA37FB1D6">
    <w:name w:val="BC0277CBC8AE42E1BD95097FA37FB1D6"/>
    <w:rsid w:val="004A7D18"/>
  </w:style>
  <w:style w:type="paragraph" w:customStyle="1" w:styleId="114C5695841D4504BFA38A38A56B2070">
    <w:name w:val="114C5695841D4504BFA38A38A56B2070"/>
    <w:rsid w:val="004A7D18"/>
  </w:style>
  <w:style w:type="paragraph" w:customStyle="1" w:styleId="DD5D54A0EAA74E508A49BB6CCDA4AA48">
    <w:name w:val="DD5D54A0EAA74E508A49BB6CCDA4AA48"/>
    <w:rsid w:val="004A7D18"/>
  </w:style>
  <w:style w:type="paragraph" w:customStyle="1" w:styleId="EA8DC608416F4D87898F51B45DF16709">
    <w:name w:val="EA8DC608416F4D87898F51B45DF16709"/>
    <w:rsid w:val="004A7D18"/>
  </w:style>
  <w:style w:type="paragraph" w:customStyle="1" w:styleId="206E50EABE084139B08FE10B27530ADD">
    <w:name w:val="206E50EABE084139B08FE10B27530ADD"/>
    <w:rsid w:val="004A7D18"/>
  </w:style>
  <w:style w:type="paragraph" w:customStyle="1" w:styleId="3D2EF358505C416C81781356120462D6">
    <w:name w:val="3D2EF358505C416C81781356120462D6"/>
    <w:rsid w:val="004A7D18"/>
  </w:style>
  <w:style w:type="paragraph" w:customStyle="1" w:styleId="9CFCE56FBA454B25B21F72AE40D618B9">
    <w:name w:val="9CFCE56FBA454B25B21F72AE40D618B9"/>
    <w:rsid w:val="004A7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20118</b:Tag>
    <b:SourceType>DocumentFromInternetSite</b:SourceType>
    <b:Guid>{C8D97D5F-FB51-466C-A0E2-CB31DD4C904A}</b:Guid>
    <b:Title>2018 Energy Transition Outlook: A global and regional forecast to 2050</b:Title>
    <b:Year>2018</b:Year>
    <b:InternetSiteTitle>DNV GL</b:InternetSiteTitle>
    <b:URL>https://eto.dnvgl.com/2018</b:URL>
    <b:RefOrder>1</b:RefOrder>
  </b:Source>
</b:Sources>
</file>

<file path=customXml/itemProps1.xml><?xml version="1.0" encoding="utf-8"?>
<ds:datastoreItem xmlns:ds="http://schemas.openxmlformats.org/officeDocument/2006/customXml" ds:itemID="{32800182-FC7A-4553-A5C9-638F840B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1</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Yuqing</dc:creator>
  <cp:keywords/>
  <dc:description/>
  <cp:lastModifiedBy>Gao, Yuqing</cp:lastModifiedBy>
  <cp:revision>12</cp:revision>
  <cp:lastPrinted>2019-12-17T09:55:00Z</cp:lastPrinted>
  <dcterms:created xsi:type="dcterms:W3CDTF">2019-12-16T05:03:00Z</dcterms:created>
  <dcterms:modified xsi:type="dcterms:W3CDTF">2019-12-17T09:55:00Z</dcterms:modified>
</cp:coreProperties>
</file>