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63C1" w14:textId="77777777" w:rsidR="00B5278C" w:rsidRDefault="00323CD7">
      <w:pPr>
        <w:rPr>
          <w:b/>
          <w:bCs/>
        </w:rPr>
      </w:pPr>
      <w:r>
        <w:rPr>
          <w:b/>
          <w:bCs/>
        </w:rPr>
        <w:t>Introduction</w:t>
      </w:r>
    </w:p>
    <w:p w14:paraId="1340CE6A" w14:textId="77777777" w:rsidR="00B5278C" w:rsidRDefault="00323CD7">
      <w:pPr>
        <w:ind w:firstLine="420"/>
      </w:pPr>
      <w:r>
        <w:t xml:space="preserve">Hydrogen, owing to the advantages of its renewability and zero emission property, has gained sufficient attention as a source of eco-friendly energy. Storage technology is a key component to utilize the hydrogen as a fuel source in automatic and aerospace </w:t>
      </w:r>
      <w:r>
        <w:t xml:space="preserve">industries. The type IV storage vessel </w:t>
      </w:r>
      <w:r>
        <w:rPr>
          <w:rFonts w:hint="eastAsia"/>
        </w:rPr>
        <w:t>is</w:t>
      </w:r>
      <w:r>
        <w:t xml:space="preserve"> a promising product because of its long service life and excellent barrier properties to hydrogen. However, its capacity to resist the internal pressure almost depends on the wound reinforced composites. Thus, the </w:t>
      </w:r>
      <w:r>
        <w:t xml:space="preserve">promotion of mechanical performance for composite overwrapping </w:t>
      </w:r>
      <w:r>
        <w:rPr>
          <w:rFonts w:hint="eastAsia"/>
        </w:rPr>
        <w:t>is considered as</w:t>
      </w:r>
      <w:r>
        <w:t xml:space="preserve"> </w:t>
      </w:r>
      <w:r>
        <w:rPr>
          <w:rFonts w:hint="eastAsia"/>
        </w:rPr>
        <w:t xml:space="preserve">an </w:t>
      </w:r>
      <w:r>
        <w:t>economical choice as it allows the hydrogen storage at a high pressure.</w:t>
      </w:r>
    </w:p>
    <w:p w14:paraId="383B702E" w14:textId="77777777" w:rsidR="00B5278C" w:rsidRDefault="00323CD7">
      <w:r>
        <w:t xml:space="preserve">  Various experimental and numerical studies are conducted to explore the damage behavior of the type</w:t>
      </w:r>
      <w:r>
        <w:t xml:space="preserve"> IV storage vessel under the bursting pressure. The results show the initial damage always happens at the cylinder section and dome section near the equator. Besides, a more flexible winding pattern for dome section is introduced by non-geodesic trajectori</w:t>
      </w:r>
      <w:r>
        <w:t xml:space="preserve">es winding pattern which utilizes the friction between the fiber and workpiece surface to resist the slip line action. These previous findings indicate </w:t>
      </w:r>
      <w:r>
        <w:rPr>
          <w:rFonts w:hint="eastAsia"/>
        </w:rPr>
        <w:t xml:space="preserve">that </w:t>
      </w:r>
      <w:r>
        <w:t>the tensile failure of individual composite layer can occur simultaneously</w:t>
      </w:r>
      <w:r>
        <w:rPr>
          <w:rFonts w:hint="eastAsia"/>
        </w:rPr>
        <w:t xml:space="preserve"> by </w:t>
      </w:r>
      <w:r>
        <w:t>through adjusting the</w:t>
      </w:r>
      <w:r>
        <w:t xml:space="preserve"> cross-sectional shapes of the dome part, which thereby leads to a maximum pressure bearing capacity for hydrogen storage structures. This research will contribute to the low-cost and high-safety commercial application for hydrogen energy.  </w:t>
      </w:r>
    </w:p>
    <w:p w14:paraId="5B4B6CFA" w14:textId="77777777" w:rsidR="00B5278C" w:rsidRDefault="00323CD7">
      <w:pPr>
        <w:rPr>
          <w:b/>
          <w:bCs/>
        </w:rPr>
      </w:pPr>
      <w:r>
        <w:rPr>
          <w:b/>
          <w:bCs/>
        </w:rPr>
        <w:t>Numerical Meth</w:t>
      </w:r>
      <w:r>
        <w:rPr>
          <w:b/>
          <w:bCs/>
        </w:rPr>
        <w:t>od and results</w:t>
      </w:r>
    </w:p>
    <w:p w14:paraId="77A08B9B" w14:textId="77777777" w:rsidR="00B5278C" w:rsidRDefault="00323CD7">
      <w:pPr>
        <w:ind w:firstLine="420"/>
      </w:pPr>
      <w:r>
        <w:t xml:space="preserve">The paper aims to explore the influence of cross-section shape of dome part on </w:t>
      </w:r>
      <w:r>
        <w:rPr>
          <w:rFonts w:hint="eastAsia"/>
        </w:rPr>
        <w:t xml:space="preserve">the </w:t>
      </w:r>
      <w:r>
        <w:t>bearing capacity of filament-wound type IV storage vessel. Firstly, the non-geodesic trajectories of winding angle are derived by the introduce of slippage co</w:t>
      </w:r>
      <w:r>
        <w:t>efficient, and the corresponding differential equation is solved by fourth order Runge-</w:t>
      </w:r>
      <w:proofErr w:type="spellStart"/>
      <w:r>
        <w:t>Kutta</w:t>
      </w:r>
      <w:proofErr w:type="spellEnd"/>
      <w:r>
        <w:t xml:space="preserve"> method. Thus, the various dome section for storage tank is established. Subsequently, a quarter of the cylinder is selected to establish the finite element model w</w:t>
      </w:r>
      <w:r>
        <w:t>ith T700 composite reinforcement, polyethylene liner and 6061-T6</w:t>
      </w:r>
      <w:r>
        <w:rPr>
          <w:rFonts w:hint="eastAsia"/>
        </w:rPr>
        <w:t xml:space="preserve"> </w:t>
      </w:r>
      <w:r>
        <w:t xml:space="preserve">metal boss using C3D8R solid element, as illustrated in Fig.1(a). The </w:t>
      </w:r>
      <w:proofErr w:type="spellStart"/>
      <w:r>
        <w:t>Hashin</w:t>
      </w:r>
      <w:proofErr w:type="spellEnd"/>
      <w:r>
        <w:t xml:space="preserve"> damage criteria and progressive damage model controlled by damage variable range from 0 to 1 is applied to describ</w:t>
      </w:r>
      <w:r>
        <w:t>e the damage initiation and evolution, and the corresponding flow chart is showed in Fig. 1(b).</w:t>
      </w:r>
    </w:p>
    <w:p w14:paraId="6518C2E0" w14:textId="6895BC02" w:rsidR="00B5278C" w:rsidRDefault="00323CD7">
      <w:r>
        <w:lastRenderedPageBreak/>
        <w:t xml:space="preserve"> </w:t>
      </w:r>
      <w:r w:rsidR="00044F5C">
        <w:rPr>
          <w:noProof/>
        </w:rPr>
        <w:drawing>
          <wp:inline distT="0" distB="0" distL="0" distR="0" wp14:anchorId="6284EB40" wp14:editId="7B86D48A">
            <wp:extent cx="1971923" cy="30873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66" cy="3116810"/>
                    </a:xfrm>
                    <a:prstGeom prst="rect">
                      <a:avLst/>
                    </a:prstGeom>
                    <a:noFill/>
                  </pic:spPr>
                </pic:pic>
              </a:graphicData>
            </a:graphic>
          </wp:inline>
        </w:drawing>
      </w:r>
      <w:r>
        <w:rPr>
          <w:rFonts w:hint="eastAsia"/>
        </w:rPr>
        <w:t xml:space="preserve">        </w:t>
      </w:r>
      <w:r>
        <w:t xml:space="preserve"> </w:t>
      </w:r>
      <w:r w:rsidR="00044F5C">
        <w:object w:dxaOrig="3131" w:dyaOrig="4226" w14:anchorId="3472A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7.15pt;height:225.4pt" o:ole="">
            <v:imagedata r:id="rId8" o:title=""/>
          </v:shape>
          <o:OLEObject Type="Embed" ProgID="Visio.Drawing.15" ShapeID="_x0000_i1025" DrawAspect="Content" ObjectID="_1680109578" r:id="rId9"/>
        </w:object>
      </w:r>
    </w:p>
    <w:p w14:paraId="01F8F81A" w14:textId="77777777" w:rsidR="00B5278C" w:rsidRDefault="00323CD7">
      <w:pPr>
        <w:ind w:firstLineChars="350" w:firstLine="735"/>
        <w:rPr>
          <w:sz w:val="21"/>
          <w:szCs w:val="20"/>
        </w:rPr>
      </w:pPr>
      <w:r>
        <w:rPr>
          <w:rFonts w:hint="eastAsia"/>
          <w:sz w:val="21"/>
          <w:szCs w:val="20"/>
        </w:rPr>
        <w:t>(</w:t>
      </w:r>
      <w:r>
        <w:rPr>
          <w:sz w:val="21"/>
          <w:szCs w:val="20"/>
        </w:rPr>
        <w:t xml:space="preserve">a) mesh model             </w:t>
      </w:r>
      <w:proofErr w:type="gramStart"/>
      <w:r>
        <w:rPr>
          <w:sz w:val="21"/>
          <w:szCs w:val="20"/>
        </w:rPr>
        <w:t xml:space="preserve">   (</w:t>
      </w:r>
      <w:proofErr w:type="gramEnd"/>
      <w:r>
        <w:rPr>
          <w:sz w:val="21"/>
          <w:szCs w:val="20"/>
        </w:rPr>
        <w:t>b) progressive damage process flow diagram</w:t>
      </w:r>
    </w:p>
    <w:p w14:paraId="4752A010" w14:textId="77777777" w:rsidR="00B5278C" w:rsidRDefault="00323CD7">
      <w:pPr>
        <w:rPr>
          <w:sz w:val="21"/>
          <w:szCs w:val="20"/>
        </w:rPr>
      </w:pPr>
      <w:r>
        <w:rPr>
          <w:rFonts w:hint="eastAsia"/>
          <w:sz w:val="21"/>
          <w:szCs w:val="20"/>
        </w:rPr>
        <w:t>F</w:t>
      </w:r>
      <w:r>
        <w:rPr>
          <w:sz w:val="21"/>
          <w:szCs w:val="20"/>
        </w:rPr>
        <w:t>ig.1 the Finite element model of storage vess</w:t>
      </w:r>
      <w:r>
        <w:rPr>
          <w:sz w:val="21"/>
          <w:szCs w:val="20"/>
        </w:rPr>
        <w:t xml:space="preserve">el, </w:t>
      </w:r>
      <w:r>
        <w:rPr>
          <w:rFonts w:hint="eastAsia"/>
          <w:sz w:val="21"/>
          <w:szCs w:val="20"/>
        </w:rPr>
        <w:t>(</w:t>
      </w:r>
      <w:r>
        <w:rPr>
          <w:sz w:val="21"/>
          <w:szCs w:val="20"/>
        </w:rPr>
        <w:t xml:space="preserve">a) mesh model; (b) damage process flow diagram </w:t>
      </w:r>
    </w:p>
    <w:p w14:paraId="47D35C82" w14:textId="77777777" w:rsidR="00B5278C" w:rsidRDefault="00323CD7">
      <w:r>
        <w:rPr>
          <w:noProof/>
        </w:rPr>
        <w:drawing>
          <wp:inline distT="0" distB="0" distL="0" distR="0" wp14:anchorId="2D8160EB" wp14:editId="576FF45B">
            <wp:extent cx="2453005" cy="1701165"/>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53005" cy="1701165"/>
                    </a:xfrm>
                    <a:prstGeom prst="rect">
                      <a:avLst/>
                    </a:prstGeom>
                    <a:noFill/>
                  </pic:spPr>
                </pic:pic>
              </a:graphicData>
            </a:graphic>
          </wp:inline>
        </w:drawing>
      </w:r>
      <w:r>
        <w:t xml:space="preserve"> </w:t>
      </w:r>
      <w:r>
        <w:object w:dxaOrig="3457" w:dyaOrig="2651" w14:anchorId="7CFE30DB">
          <v:shape id="_x0000_i1026" type="#_x0000_t75" alt="" style="width:172.8pt;height:132.75pt" o:ole="">
            <v:imagedata r:id="rId11" o:title=""/>
          </v:shape>
          <o:OLEObject Type="Embed" ProgID="Origin50.Graph" ShapeID="_x0000_i1026" DrawAspect="Content" ObjectID="_1680109579" r:id="rId12"/>
        </w:object>
      </w:r>
    </w:p>
    <w:p w14:paraId="1290B7C7" w14:textId="77777777" w:rsidR="00B5278C" w:rsidRDefault="00323CD7">
      <w:pPr>
        <w:jc w:val="center"/>
        <w:rPr>
          <w:sz w:val="21"/>
          <w:szCs w:val="20"/>
        </w:rPr>
      </w:pPr>
      <w:r>
        <w:rPr>
          <w:rFonts w:hint="eastAsia"/>
          <w:sz w:val="21"/>
          <w:szCs w:val="20"/>
        </w:rPr>
        <w:t>(</w:t>
      </w:r>
      <w:r>
        <w:rPr>
          <w:sz w:val="21"/>
          <w:szCs w:val="20"/>
        </w:rPr>
        <w:t xml:space="preserve">a) the damage process for fiber         </w:t>
      </w:r>
      <w:proofErr w:type="gramStart"/>
      <w:r>
        <w:rPr>
          <w:sz w:val="21"/>
          <w:szCs w:val="20"/>
        </w:rPr>
        <w:t xml:space="preserve">   (</w:t>
      </w:r>
      <w:proofErr w:type="gramEnd"/>
      <w:r>
        <w:rPr>
          <w:sz w:val="21"/>
          <w:szCs w:val="20"/>
        </w:rPr>
        <w:t>b) the burst pressure vs slip coefficient</w:t>
      </w:r>
    </w:p>
    <w:p w14:paraId="54E70AE2" w14:textId="77777777" w:rsidR="00B5278C" w:rsidRDefault="00323CD7">
      <w:pPr>
        <w:jc w:val="center"/>
        <w:rPr>
          <w:sz w:val="21"/>
          <w:szCs w:val="20"/>
        </w:rPr>
      </w:pPr>
      <w:r>
        <w:rPr>
          <w:sz w:val="21"/>
          <w:szCs w:val="20"/>
        </w:rPr>
        <w:t>Fig. 2 the numerical results of, (a)</w:t>
      </w:r>
      <w:r>
        <w:rPr>
          <w:rFonts w:hint="eastAsia"/>
          <w:sz w:val="21"/>
          <w:szCs w:val="20"/>
        </w:rPr>
        <w:t xml:space="preserve"> </w:t>
      </w:r>
      <w:r>
        <w:rPr>
          <w:sz w:val="21"/>
          <w:szCs w:val="20"/>
        </w:rPr>
        <w:t>damage process for fiber; (b) burst pressure vs sl</w:t>
      </w:r>
      <w:r>
        <w:rPr>
          <w:sz w:val="21"/>
          <w:szCs w:val="20"/>
        </w:rPr>
        <w:t>ip coefficient</w:t>
      </w:r>
    </w:p>
    <w:p w14:paraId="3E9965C8" w14:textId="5B96FE72" w:rsidR="00B5278C" w:rsidRDefault="00323CD7">
      <w:pPr>
        <w:ind w:firstLine="420"/>
        <w:rPr>
          <w:szCs w:val="24"/>
        </w:rPr>
      </w:pPr>
      <w:r>
        <w:rPr>
          <w:szCs w:val="24"/>
        </w:rPr>
        <w:t>T</w:t>
      </w:r>
      <w:r>
        <w:rPr>
          <w:rFonts w:hint="eastAsia"/>
          <w:szCs w:val="24"/>
        </w:rPr>
        <w:t>he</w:t>
      </w:r>
      <w:r>
        <w:rPr>
          <w:szCs w:val="24"/>
        </w:rPr>
        <w:t xml:space="preserve"> numerical results indicate that the damage of fiber appears in the</w:t>
      </w:r>
      <w:r>
        <w:rPr>
          <w:szCs w:val="24"/>
        </w:rPr>
        <w:t xml:space="preserve"> cylinder section and large angle position in the dome section, and has a tendency of developing </w:t>
      </w:r>
      <w:r>
        <w:rPr>
          <w:rFonts w:hint="eastAsia"/>
          <w:szCs w:val="24"/>
        </w:rPr>
        <w:t>from</w:t>
      </w:r>
      <w:r>
        <w:rPr>
          <w:szCs w:val="24"/>
        </w:rPr>
        <w:t xml:space="preserve"> inside to outside (Fig.2(a)). With the in</w:t>
      </w:r>
      <w:r>
        <w:rPr>
          <w:szCs w:val="24"/>
        </w:rPr>
        <w:t>creasement of slippage coefficient, the spiral winding angle of the dome section is increased, leading to the enhancement of circumferential bearing capacity for composite layer (Fig.2(b)). Thus, under the allowable range for slippage coefficient, the stor</w:t>
      </w:r>
      <w:r>
        <w:rPr>
          <w:szCs w:val="24"/>
        </w:rPr>
        <w:t>age vessel performs the excellent mechanical performance when the maximum value of 0.2 is selected</w:t>
      </w:r>
      <w:r>
        <w:rPr>
          <w:rFonts w:hint="eastAsia"/>
          <w:szCs w:val="24"/>
        </w:rPr>
        <w:t>.</w:t>
      </w:r>
      <w:r>
        <w:rPr>
          <w:szCs w:val="24"/>
        </w:rPr>
        <w:t xml:space="preserve"> </w:t>
      </w:r>
    </w:p>
    <w:p w14:paraId="1DE26FCB" w14:textId="77777777" w:rsidR="00B5278C" w:rsidRDefault="00323CD7">
      <w:pPr>
        <w:widowControl/>
        <w:spacing w:line="240" w:lineRule="auto"/>
        <w:jc w:val="center"/>
        <w:rPr>
          <w:szCs w:val="24"/>
        </w:rPr>
      </w:pPr>
      <w:r>
        <w:rPr>
          <w:szCs w:val="24"/>
        </w:rPr>
        <w:br w:type="page"/>
      </w:r>
      <w:r>
        <w:rPr>
          <w:rFonts w:hint="eastAsia"/>
          <w:szCs w:val="24"/>
        </w:rPr>
        <w:lastRenderedPageBreak/>
        <w:t>摘要</w:t>
      </w:r>
    </w:p>
    <w:p w14:paraId="12E772D3" w14:textId="77777777" w:rsidR="00B5278C" w:rsidRDefault="00323CD7">
      <w:pPr>
        <w:ind w:firstLine="420"/>
        <w:rPr>
          <w:szCs w:val="24"/>
        </w:rPr>
      </w:pPr>
      <w:r>
        <w:rPr>
          <w:rFonts w:hint="eastAsia"/>
        </w:rPr>
        <w:t>塑料内胆纤维全缠绕</w:t>
      </w:r>
      <w:r>
        <w:t>(IV</w:t>
      </w:r>
      <w:r>
        <w:rPr>
          <w:rFonts w:hint="eastAsia"/>
        </w:rPr>
        <w:t>型</w:t>
      </w:r>
      <w:r>
        <w:t>)</w:t>
      </w:r>
      <w:r>
        <w:rPr>
          <w:rFonts w:hint="eastAsia"/>
        </w:rPr>
        <w:t>储氢气瓶具有轻量化、抗疲劳、抗腐蚀等优点，在汽车、航天储氢领域中极具应用前景</w:t>
      </w:r>
      <w:r>
        <w:rPr>
          <w:rFonts w:hint="eastAsia"/>
          <w:szCs w:val="24"/>
        </w:rPr>
        <w:t>。</w:t>
      </w:r>
      <w:r>
        <w:rPr>
          <w:rFonts w:hint="eastAsia"/>
        </w:rPr>
        <w:t>非测地线缠绕具有工艺稳定、设计灵活度高等特点，已成为</w:t>
      </w:r>
      <w:r>
        <w:rPr>
          <w:rFonts w:hint="eastAsia"/>
        </w:rPr>
        <w:t>I</w:t>
      </w:r>
      <w:r>
        <w:t>V</w:t>
      </w:r>
      <w:proofErr w:type="gramStart"/>
      <w:r>
        <w:rPr>
          <w:rFonts w:hint="eastAsia"/>
        </w:rPr>
        <w:t>型储氢气</w:t>
      </w:r>
      <w:proofErr w:type="gramEnd"/>
      <w:r>
        <w:rPr>
          <w:rFonts w:hint="eastAsia"/>
        </w:rPr>
        <w:t>瓶纤维缠绕工艺的研究焦点。为了研究该缠绕工艺对</w:t>
      </w:r>
      <w:r>
        <w:rPr>
          <w:rFonts w:hint="eastAsia"/>
        </w:rPr>
        <w:t>I</w:t>
      </w:r>
      <w:r>
        <w:t>V</w:t>
      </w:r>
      <w:proofErr w:type="gramStart"/>
      <w:r>
        <w:rPr>
          <w:rFonts w:hint="eastAsia"/>
        </w:rPr>
        <w:t>型储氢气</w:t>
      </w:r>
      <w:proofErr w:type="gramEnd"/>
      <w:r>
        <w:rPr>
          <w:rFonts w:hint="eastAsia"/>
        </w:rPr>
        <w:t>瓶承压性能的影响规律，本文引入滑移系数建立了稳定的非测地线缠绕轨迹微分方程，并利用仿真软件建立了</w:t>
      </w:r>
      <w:r>
        <w:rPr>
          <w:rFonts w:hint="eastAsia"/>
        </w:rPr>
        <w:t>I</w:t>
      </w:r>
      <w:r>
        <w:t>V</w:t>
      </w:r>
      <w:r>
        <w:rPr>
          <w:rFonts w:hint="eastAsia"/>
        </w:rPr>
        <w:t>型复合材料气瓶的有限元模型，模型采用</w:t>
      </w:r>
      <w:proofErr w:type="spellStart"/>
      <w:r>
        <w:rPr>
          <w:rFonts w:hint="eastAsia"/>
        </w:rPr>
        <w:t>Hashin</w:t>
      </w:r>
      <w:proofErr w:type="spellEnd"/>
      <w:r>
        <w:rPr>
          <w:rFonts w:hint="eastAsia"/>
        </w:rPr>
        <w:t>准则和渐进失效理论描述碳纤维增强复合材料的损伤失效行为。仿真结果表明，模型可以预测复合材料的损伤演化过程</w:t>
      </w:r>
      <w:r>
        <w:rPr>
          <w:rFonts w:hint="eastAsia"/>
        </w:rPr>
        <w:t>。</w:t>
      </w:r>
    </w:p>
    <w:p w14:paraId="542CC558" w14:textId="77777777" w:rsidR="00B5278C" w:rsidRDefault="00B5278C">
      <w:pPr>
        <w:widowControl/>
        <w:spacing w:line="240" w:lineRule="auto"/>
        <w:jc w:val="left"/>
        <w:rPr>
          <w:szCs w:val="24"/>
        </w:rPr>
      </w:pPr>
    </w:p>
    <w:p w14:paraId="549B9FC1" w14:textId="77777777" w:rsidR="00B5278C" w:rsidRDefault="00B5278C">
      <w:pPr>
        <w:ind w:firstLine="420"/>
        <w:rPr>
          <w:szCs w:val="24"/>
        </w:rPr>
      </w:pPr>
    </w:p>
    <w:sectPr w:rsidR="00B527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81DF8" w14:textId="77777777" w:rsidR="00323CD7" w:rsidRDefault="00323CD7">
      <w:pPr>
        <w:spacing w:line="240" w:lineRule="auto"/>
      </w:pPr>
      <w:r>
        <w:separator/>
      </w:r>
    </w:p>
  </w:endnote>
  <w:endnote w:type="continuationSeparator" w:id="0">
    <w:p w14:paraId="71DD043D" w14:textId="77777777" w:rsidR="00323CD7" w:rsidRDefault="00323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304BC" w14:textId="77777777" w:rsidR="00323CD7" w:rsidRDefault="00323CD7">
      <w:pPr>
        <w:spacing w:line="240" w:lineRule="auto"/>
      </w:pPr>
      <w:r>
        <w:separator/>
      </w:r>
    </w:p>
  </w:footnote>
  <w:footnote w:type="continuationSeparator" w:id="0">
    <w:p w14:paraId="5BC987B0" w14:textId="77777777" w:rsidR="00323CD7" w:rsidRDefault="00323C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B4"/>
    <w:rsid w:val="000133DD"/>
    <w:rsid w:val="00036823"/>
    <w:rsid w:val="00044F5C"/>
    <w:rsid w:val="0006091F"/>
    <w:rsid w:val="001030E5"/>
    <w:rsid w:val="0011688D"/>
    <w:rsid w:val="00135FFC"/>
    <w:rsid w:val="00163412"/>
    <w:rsid w:val="001779D5"/>
    <w:rsid w:val="001D1A51"/>
    <w:rsid w:val="002160C0"/>
    <w:rsid w:val="0023345D"/>
    <w:rsid w:val="002355E3"/>
    <w:rsid w:val="00237A81"/>
    <w:rsid w:val="00260C11"/>
    <w:rsid w:val="003069CA"/>
    <w:rsid w:val="00323CD7"/>
    <w:rsid w:val="003847E7"/>
    <w:rsid w:val="003B3672"/>
    <w:rsid w:val="003F5258"/>
    <w:rsid w:val="00484F77"/>
    <w:rsid w:val="00514176"/>
    <w:rsid w:val="005245D3"/>
    <w:rsid w:val="00552217"/>
    <w:rsid w:val="005609E2"/>
    <w:rsid w:val="00582F1E"/>
    <w:rsid w:val="005A6D27"/>
    <w:rsid w:val="005D21D6"/>
    <w:rsid w:val="006170E4"/>
    <w:rsid w:val="00651F1E"/>
    <w:rsid w:val="006855B1"/>
    <w:rsid w:val="006B64A1"/>
    <w:rsid w:val="007A60B9"/>
    <w:rsid w:val="007B73F4"/>
    <w:rsid w:val="007D33EB"/>
    <w:rsid w:val="00842151"/>
    <w:rsid w:val="008B0D25"/>
    <w:rsid w:val="008B7DFA"/>
    <w:rsid w:val="008E5BA1"/>
    <w:rsid w:val="009278EB"/>
    <w:rsid w:val="009513B4"/>
    <w:rsid w:val="009566CD"/>
    <w:rsid w:val="00AD5D82"/>
    <w:rsid w:val="00B2352C"/>
    <w:rsid w:val="00B5278C"/>
    <w:rsid w:val="00B643F2"/>
    <w:rsid w:val="00BA6640"/>
    <w:rsid w:val="00C16898"/>
    <w:rsid w:val="00C97F38"/>
    <w:rsid w:val="00CC6C84"/>
    <w:rsid w:val="00DD2B63"/>
    <w:rsid w:val="00E93865"/>
    <w:rsid w:val="00EB6E85"/>
    <w:rsid w:val="00FC166C"/>
    <w:rsid w:val="0F9D3C60"/>
    <w:rsid w:val="1178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E4878"/>
  <w15:docId w15:val="{07D8E407-0749-49FD-AD82-E03EF658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Times New Roman" w:eastAsia="宋体"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Yang</dc:creator>
  <cp:lastModifiedBy>curtis Yang</cp:lastModifiedBy>
  <cp:revision>8</cp:revision>
  <cp:lastPrinted>2021-04-16T11:18:00Z</cp:lastPrinted>
  <dcterms:created xsi:type="dcterms:W3CDTF">2021-04-15T12:24:00Z</dcterms:created>
  <dcterms:modified xsi:type="dcterms:W3CDTF">2021-04-16T12:19:00Z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3170D5744A46424A812811351AD6F113</vt:lpwstr>
  </property>
</Properties>
</file>