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611" w:rsidRPr="00425D2B" w:rsidRDefault="000C1611" w:rsidP="000C1611">
      <w:pPr>
        <w:autoSpaceDE w:val="0"/>
        <w:autoSpaceDN w:val="0"/>
        <w:adjustRightInd w:val="0"/>
        <w:jc w:val="left"/>
        <w:rPr>
          <w:b/>
          <w:szCs w:val="21"/>
        </w:rPr>
      </w:pPr>
      <w:r w:rsidRPr="00425D2B">
        <w:rPr>
          <w:b/>
          <w:szCs w:val="21"/>
        </w:rPr>
        <w:t>新型材料</w:t>
      </w:r>
      <w:r w:rsidRPr="00425D2B">
        <w:rPr>
          <w:rFonts w:hint="eastAsia"/>
          <w:b/>
          <w:szCs w:val="21"/>
        </w:rPr>
        <w:t>助力</w:t>
      </w:r>
      <w:r w:rsidRPr="00425D2B">
        <w:rPr>
          <w:b/>
          <w:szCs w:val="21"/>
        </w:rPr>
        <w:t>组件</w:t>
      </w:r>
      <w:r w:rsidRPr="00425D2B">
        <w:rPr>
          <w:rFonts w:hint="eastAsia"/>
          <w:b/>
          <w:szCs w:val="21"/>
        </w:rPr>
        <w:t>边</w:t>
      </w:r>
      <w:r w:rsidRPr="00425D2B">
        <w:rPr>
          <w:b/>
          <w:szCs w:val="21"/>
        </w:rPr>
        <w:t>框与跟踪支架一体化</w:t>
      </w:r>
      <w:r w:rsidRPr="00425D2B">
        <w:rPr>
          <w:rFonts w:hint="eastAsia"/>
          <w:b/>
          <w:szCs w:val="21"/>
        </w:rPr>
        <w:t>设计</w:t>
      </w:r>
    </w:p>
    <w:p w:rsidR="000C1611" w:rsidRPr="00425D2B" w:rsidRDefault="000C1611" w:rsidP="000C1611">
      <w:pPr>
        <w:autoSpaceDE w:val="0"/>
        <w:autoSpaceDN w:val="0"/>
        <w:adjustRightInd w:val="0"/>
        <w:jc w:val="left"/>
        <w:rPr>
          <w:rFonts w:ascii="Calibri" w:hAnsi="Calibri" w:cs="Calibri"/>
          <w:b/>
          <w:color w:val="000000"/>
          <w:kern w:val="0"/>
        </w:rPr>
      </w:pPr>
      <w:r w:rsidRPr="00425D2B">
        <w:rPr>
          <w:rFonts w:ascii="Calibri" w:hAnsi="Calibri" w:cs="Calibri" w:hint="eastAsia"/>
          <w:b/>
          <w:color w:val="000000"/>
          <w:kern w:val="0"/>
        </w:rPr>
        <w:t>PV</w:t>
      </w:r>
      <w:r w:rsidRPr="00425D2B">
        <w:rPr>
          <w:rFonts w:ascii="Calibri" w:hAnsi="Calibri" w:cs="Calibri"/>
          <w:b/>
          <w:color w:val="000000"/>
          <w:kern w:val="0"/>
        </w:rPr>
        <w:t xml:space="preserve"> </w:t>
      </w:r>
      <w:r w:rsidRPr="00425D2B">
        <w:rPr>
          <w:rFonts w:ascii="Calibri" w:hAnsi="Calibri" w:cs="Calibri" w:hint="eastAsia"/>
          <w:b/>
          <w:color w:val="000000"/>
          <w:kern w:val="0"/>
        </w:rPr>
        <w:t>Mo</w:t>
      </w:r>
      <w:r w:rsidRPr="00425D2B">
        <w:rPr>
          <w:rFonts w:ascii="Calibri" w:hAnsi="Calibri" w:cs="Calibri"/>
          <w:b/>
          <w:color w:val="000000"/>
          <w:kern w:val="0"/>
        </w:rPr>
        <w:t xml:space="preserve">dule Frame and Tracker Integrated Design Powered by New Material </w:t>
      </w:r>
    </w:p>
    <w:p w:rsidR="000C1611" w:rsidRPr="00425D2B" w:rsidRDefault="00425D2B" w:rsidP="000C1611">
      <w:pPr>
        <w:autoSpaceDE w:val="0"/>
        <w:autoSpaceDN w:val="0"/>
        <w:adjustRightInd w:val="0"/>
        <w:jc w:val="left"/>
        <w:rPr>
          <w:rStyle w:val="scayt-misspell-word"/>
          <w:b/>
          <w:szCs w:val="21"/>
        </w:rPr>
      </w:pPr>
      <w:r w:rsidRPr="00425D2B">
        <w:rPr>
          <w:rStyle w:val="scayt-misspell-word"/>
          <w:rFonts w:hint="eastAsia"/>
          <w:b/>
          <w:szCs w:val="21"/>
        </w:rPr>
        <w:t>【摘要】</w:t>
      </w:r>
      <w:r w:rsidRPr="00425D2B">
        <w:rPr>
          <w:rFonts w:ascii="Calibri" w:hAnsi="Calibri" w:cs="Calibri" w:hint="eastAsia"/>
          <w:b/>
          <w:color w:val="000000"/>
          <w:kern w:val="0"/>
        </w:rPr>
        <w:t>A</w:t>
      </w:r>
      <w:r w:rsidRPr="00425D2B">
        <w:rPr>
          <w:rFonts w:ascii="Calibri" w:hAnsi="Calibri" w:cs="Calibri"/>
          <w:b/>
          <w:color w:val="000000"/>
          <w:kern w:val="0"/>
        </w:rPr>
        <w:t>bstract</w:t>
      </w:r>
    </w:p>
    <w:p w:rsidR="00883996" w:rsidRDefault="000C1611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组件边框和光伏跟踪支架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是光</w:t>
      </w:r>
      <w:proofErr w:type="gramStart"/>
      <w:r w:rsidRPr="00F450BA">
        <w:rPr>
          <w:rStyle w:val="scayt-misspell-word"/>
          <w:szCs w:val="21"/>
        </w:rPr>
        <w:t>伏系统</w:t>
      </w:r>
      <w:proofErr w:type="gramEnd"/>
      <w:r w:rsidRPr="00F450BA">
        <w:rPr>
          <w:rStyle w:val="scayt-misspell-word"/>
          <w:szCs w:val="21"/>
        </w:rPr>
        <w:t>组成中造价不降反升的大宗物料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已经成为进一步降低度电成本的主要障碍</w:t>
      </w:r>
      <w:r w:rsidRPr="00F450BA">
        <w:rPr>
          <w:szCs w:val="21"/>
        </w:rPr>
        <w:t>。</w:t>
      </w:r>
    </w:p>
    <w:p w:rsidR="00883996" w:rsidRDefault="00883996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The module frame and tracker has become major obstacle of cost reduction in the PV system level due to its price increasing, rather than other price dropping materials.</w:t>
      </w:r>
    </w:p>
    <w:p w:rsidR="00E701A2" w:rsidRDefault="00FE539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 w:rsidRPr="00FE5394">
        <w:rPr>
          <w:noProof/>
          <w:szCs w:val="21"/>
        </w:rPr>
        <w:drawing>
          <wp:inline distT="0" distB="0" distL="0" distR="0" wp14:anchorId="4C2D237A" wp14:editId="55455997">
            <wp:extent cx="3200400" cy="3155950"/>
            <wp:effectExtent l="0" t="0" r="0" b="63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FE5394">
        <w:rPr>
          <w:noProof/>
          <w:szCs w:val="21"/>
        </w:rPr>
        <w:drawing>
          <wp:inline distT="0" distB="0" distL="0" distR="0" wp14:anchorId="35D009FE" wp14:editId="19DAD69D">
            <wp:extent cx="2806700" cy="3155950"/>
            <wp:effectExtent l="0" t="0" r="12700" b="635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01A2" w:rsidRDefault="001B6CC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>
            <wp:extent cx="4311650" cy="1968995"/>
            <wp:effectExtent l="0" t="0" r="0" b="0"/>
            <wp:docPr id="3" name="图片 3" descr="https://timgsa.baidu.com/timg?image&amp;quality=80&amp;size=b9999_10000&amp;sec=1575357895415&amp;di=d4146f241e99ef12fc2778130208481b&amp;imgtype=0&amp;src=http%3A%2F%2Fimg.energytrend.cn%2Fwp-content%2Fuploads%2F2018%2F05%2F64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5357895415&amp;di=d4146f241e99ef12fc2778130208481b&amp;imgtype=0&amp;src=http%3A%2F%2Fimg.energytrend.cn%2Fwp-content%2Fuploads%2F2018%2F05%2F640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2" cy="1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A2" w:rsidRDefault="001B6CC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  <w:szCs w:val="21"/>
        </w:rPr>
        <w:drawing>
          <wp:inline distT="0" distB="0" distL="0" distR="0">
            <wp:extent cx="4705350" cy="2254250"/>
            <wp:effectExtent l="0" t="0" r="0" b="1270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0" w:name="_GoBack"/>
      <w:bookmarkEnd w:id="0"/>
    </w:p>
    <w:p w:rsidR="00883996" w:rsidRDefault="000C1611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lastRenderedPageBreak/>
        <w:t>应用新型</w:t>
      </w:r>
      <w:proofErr w:type="gramStart"/>
      <w:r w:rsidRPr="00F450BA">
        <w:rPr>
          <w:rStyle w:val="scayt-misspell-word"/>
          <w:szCs w:val="21"/>
        </w:rPr>
        <w:t>镀铝镁锌钢板</w:t>
      </w:r>
      <w:proofErr w:type="gramEnd"/>
      <w:r w:rsidRPr="00F450BA">
        <w:rPr>
          <w:rStyle w:val="scayt-misspell-word"/>
          <w:szCs w:val="21"/>
        </w:rPr>
        <w:t>材料</w:t>
      </w:r>
      <w:r w:rsidRPr="00F450BA">
        <w:rPr>
          <w:szCs w:val="21"/>
        </w:rPr>
        <w:t>，是系统集成端降低成本的技术研究与产品开发方向之一。</w:t>
      </w:r>
    </w:p>
    <w:p w:rsidR="00883996" w:rsidRDefault="00883996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The application of Zinc Aluminum Magnesium alloy Coating Steel plate is an important way of cost reduction in the system level.</w:t>
      </w:r>
    </w:p>
    <w:p w:rsidR="00883996" w:rsidRDefault="000C1611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本文介绍了新型</w:t>
      </w:r>
      <w:proofErr w:type="gramStart"/>
      <w:r w:rsidRPr="00F450BA">
        <w:rPr>
          <w:szCs w:val="21"/>
        </w:rPr>
        <w:t>镀铝镁锌钢板</w:t>
      </w:r>
      <w:proofErr w:type="gramEnd"/>
      <w:r w:rsidRPr="00F450BA">
        <w:rPr>
          <w:szCs w:val="21"/>
        </w:rPr>
        <w:t>的防腐机理和机械特性</w:t>
      </w:r>
      <w:r w:rsidR="00883996">
        <w:rPr>
          <w:szCs w:val="21"/>
        </w:rPr>
        <w:t>。</w:t>
      </w:r>
    </w:p>
    <w:p w:rsidR="00883996" w:rsidRDefault="00883996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This paper introduces the anticorrosion mechanism and mechanical properties.</w:t>
      </w:r>
    </w:p>
    <w:p w:rsidR="00E701A2" w:rsidRDefault="00323DC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32D736A8" wp14:editId="67E85205">
            <wp:extent cx="3999903" cy="27241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872" cy="27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A2" w:rsidRDefault="00323DC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6D966B77" wp14:editId="7F184DBD">
            <wp:extent cx="3892550" cy="163811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619" cy="1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96" w:rsidRDefault="002E1004" w:rsidP="000C1611">
      <w:pPr>
        <w:autoSpaceDE w:val="0"/>
        <w:autoSpaceDN w:val="0"/>
        <w:adjustRightInd w:val="0"/>
        <w:jc w:val="left"/>
        <w:rPr>
          <w:szCs w:val="21"/>
        </w:rPr>
      </w:pPr>
      <w:r>
        <w:rPr>
          <w:rStyle w:val="scayt-misspell-word"/>
          <w:szCs w:val="21"/>
        </w:rPr>
        <w:t>以及</w:t>
      </w:r>
      <w:r>
        <w:rPr>
          <w:rStyle w:val="scayt-misspell-word"/>
          <w:rFonts w:hint="eastAsia"/>
          <w:szCs w:val="21"/>
        </w:rPr>
        <w:t>该</w:t>
      </w:r>
      <w:r>
        <w:rPr>
          <w:rStyle w:val="scayt-misspell-word"/>
          <w:szCs w:val="21"/>
        </w:rPr>
        <w:t>材料在组件边框</w:t>
      </w:r>
      <w:r w:rsidR="000C1611" w:rsidRPr="00F450BA">
        <w:rPr>
          <w:rStyle w:val="scayt-misspell-word"/>
          <w:szCs w:val="21"/>
        </w:rPr>
        <w:t>铝代钢</w:t>
      </w:r>
      <w:r>
        <w:rPr>
          <w:szCs w:val="21"/>
        </w:rPr>
        <w:t>、</w:t>
      </w:r>
      <w:r w:rsidR="000C1611" w:rsidRPr="00F450BA">
        <w:rPr>
          <w:szCs w:val="21"/>
        </w:rPr>
        <w:t>边框与跟踪支架支撑件一体化方面的标准适应性和经济技术可行性。</w:t>
      </w:r>
    </w:p>
    <w:p w:rsidR="00883996" w:rsidRDefault="002E1004" w:rsidP="000C1611">
      <w:pPr>
        <w:autoSpaceDE w:val="0"/>
        <w:autoSpaceDN w:val="0"/>
        <w:adjustRightInd w:val="0"/>
        <w:jc w:val="left"/>
        <w:rPr>
          <w:szCs w:val="21"/>
        </w:rPr>
      </w:pPr>
      <w:r>
        <w:rPr>
          <w:szCs w:val="21"/>
        </w:rPr>
        <w:t xml:space="preserve">Also, </w:t>
      </w:r>
      <w:r w:rsidR="00883996" w:rsidRPr="00F450BA">
        <w:rPr>
          <w:szCs w:val="21"/>
        </w:rPr>
        <w:t>module frame design with st</w:t>
      </w:r>
      <w:r>
        <w:rPr>
          <w:szCs w:val="21"/>
        </w:rPr>
        <w:t xml:space="preserve">eel instead of </w:t>
      </w:r>
      <w:r>
        <w:rPr>
          <w:rFonts w:hint="eastAsia"/>
          <w:szCs w:val="21"/>
        </w:rPr>
        <w:t>AL</w:t>
      </w:r>
      <w:r>
        <w:rPr>
          <w:szCs w:val="21"/>
        </w:rPr>
        <w:t xml:space="preserve">, </w:t>
      </w:r>
      <w:r w:rsidR="00883996" w:rsidRPr="00F450BA">
        <w:rPr>
          <w:szCs w:val="21"/>
        </w:rPr>
        <w:t>module frame and tracker integrated design is introduced.</w:t>
      </w:r>
    </w:p>
    <w:p w:rsidR="005F3B67" w:rsidRDefault="005F3B67" w:rsidP="000C1611">
      <w:pPr>
        <w:autoSpaceDE w:val="0"/>
        <w:autoSpaceDN w:val="0"/>
        <w:adjustRightInd w:val="0"/>
        <w:jc w:val="left"/>
        <w:rPr>
          <w:szCs w:val="21"/>
        </w:rPr>
      </w:pPr>
      <w:r>
        <w:rPr>
          <w:rFonts w:hint="eastAsia"/>
          <w:szCs w:val="21"/>
        </w:rPr>
        <w:t>组件边框</w:t>
      </w:r>
      <w:r>
        <w:rPr>
          <w:rFonts w:hint="eastAsia"/>
          <w:szCs w:val="21"/>
        </w:rPr>
        <w:t>3D</w:t>
      </w:r>
      <w:r>
        <w:rPr>
          <w:rFonts w:hint="eastAsia"/>
          <w:szCs w:val="21"/>
        </w:rPr>
        <w:t>建模、刚度分析、强度分析</w:t>
      </w:r>
      <w:r>
        <w:rPr>
          <w:szCs w:val="21"/>
        </w:rPr>
        <w:t>PV Module 3D modeling, s</w:t>
      </w:r>
      <w:r w:rsidRPr="005F3B67">
        <w:rPr>
          <w:szCs w:val="21"/>
        </w:rPr>
        <w:t>tiffness analysis</w:t>
      </w:r>
      <w:r>
        <w:rPr>
          <w:szCs w:val="21"/>
        </w:rPr>
        <w:t xml:space="preserve"> and </w:t>
      </w:r>
      <w:r w:rsidRPr="005F3B67">
        <w:rPr>
          <w:szCs w:val="21"/>
        </w:rPr>
        <w:t>strength analysis</w:t>
      </w:r>
      <w:r>
        <w:rPr>
          <w:szCs w:val="21"/>
        </w:rPr>
        <w:t>.</w:t>
      </w:r>
    </w:p>
    <w:p w:rsidR="00E701A2" w:rsidRDefault="00323DC4" w:rsidP="000C1611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5B2278B5" wp14:editId="61C3B5CF">
            <wp:extent cx="4425950" cy="2072913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721" cy="20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11" w:rsidRDefault="000C1611" w:rsidP="000C1611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最后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以实际应用案例为基础</w:t>
      </w:r>
      <w:r w:rsidRPr="00F450BA">
        <w:rPr>
          <w:szCs w:val="21"/>
        </w:rPr>
        <w:t>，计算了应用新型材料对于降低</w:t>
      </w:r>
      <w:r w:rsidRPr="00F450BA">
        <w:rPr>
          <w:szCs w:val="21"/>
        </w:rPr>
        <w:t>EPC</w:t>
      </w:r>
      <w:r w:rsidRPr="00F450BA">
        <w:rPr>
          <w:szCs w:val="21"/>
        </w:rPr>
        <w:t>造价和度电成本的实施效果。</w:t>
      </w:r>
    </w:p>
    <w:p w:rsidR="000C1611" w:rsidRDefault="000C1611" w:rsidP="000C1611">
      <w:pPr>
        <w:pStyle w:val="Default"/>
        <w:rPr>
          <w:sz w:val="21"/>
          <w:szCs w:val="21"/>
        </w:rPr>
      </w:pPr>
      <w:r w:rsidRPr="00F450BA">
        <w:rPr>
          <w:sz w:val="21"/>
          <w:szCs w:val="21"/>
        </w:rPr>
        <w:t>After discussion of the standards adaptability and economic and technical feasibility, this paper calculates the cost reduction level of EPC cost and LCOE.</w:t>
      </w:r>
    </w:p>
    <w:sectPr w:rsidR="000C1611" w:rsidSect="00163232">
      <w:footerReference w:type="even" r:id="rId15"/>
      <w:footerReference w:type="default" r:id="rId16"/>
      <w:pgSz w:w="11906" w:h="16838" w:code="9"/>
      <w:pgMar w:top="1440" w:right="1134" w:bottom="1134" w:left="1134" w:header="851" w:footer="76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201" w:rsidRDefault="006A6201">
      <w:r>
        <w:separator/>
      </w:r>
    </w:p>
  </w:endnote>
  <w:endnote w:type="continuationSeparator" w:id="0">
    <w:p w:rsidR="006A6201" w:rsidRDefault="006A6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3232">
      <w:rPr>
        <w:rStyle w:val="a4"/>
        <w:noProof/>
      </w:rPr>
      <w:t>1</w: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201" w:rsidRDefault="006A6201">
      <w:r>
        <w:separator/>
      </w:r>
    </w:p>
  </w:footnote>
  <w:footnote w:type="continuationSeparator" w:id="0">
    <w:p w:rsidR="006A6201" w:rsidRDefault="006A6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12317"/>
    <w:multiLevelType w:val="multilevel"/>
    <w:tmpl w:val="ADDE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A76D21"/>
    <w:multiLevelType w:val="hybridMultilevel"/>
    <w:tmpl w:val="D65AB74E"/>
    <w:lvl w:ilvl="0" w:tplc="B006797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E9778BB"/>
    <w:multiLevelType w:val="hybridMultilevel"/>
    <w:tmpl w:val="F10A9ACE"/>
    <w:lvl w:ilvl="0" w:tplc="155E035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0012A7"/>
    <w:multiLevelType w:val="hybridMultilevel"/>
    <w:tmpl w:val="B20C2932"/>
    <w:lvl w:ilvl="0" w:tplc="FBBAC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FE7745"/>
    <w:multiLevelType w:val="hybridMultilevel"/>
    <w:tmpl w:val="057A8A46"/>
    <w:lvl w:ilvl="0" w:tplc="87E02E5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A52BE7"/>
    <w:multiLevelType w:val="hybridMultilevel"/>
    <w:tmpl w:val="3E92D890"/>
    <w:lvl w:ilvl="0" w:tplc="5ACCA57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E0207D"/>
    <w:multiLevelType w:val="multilevel"/>
    <w:tmpl w:val="0A1A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A24D9"/>
    <w:multiLevelType w:val="hybridMultilevel"/>
    <w:tmpl w:val="7FCC4954"/>
    <w:lvl w:ilvl="0" w:tplc="4BDE09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490A4D"/>
    <w:multiLevelType w:val="hybridMultilevel"/>
    <w:tmpl w:val="B91E2BB2"/>
    <w:lvl w:ilvl="0" w:tplc="AA10B9B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CA13AB"/>
    <w:multiLevelType w:val="hybridMultilevel"/>
    <w:tmpl w:val="8FD2EE4E"/>
    <w:lvl w:ilvl="0" w:tplc="0E260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8E"/>
    <w:rsid w:val="00007657"/>
    <w:rsid w:val="00012C6E"/>
    <w:rsid w:val="0002115B"/>
    <w:rsid w:val="00021B9C"/>
    <w:rsid w:val="00030E8D"/>
    <w:rsid w:val="0003600E"/>
    <w:rsid w:val="00044B14"/>
    <w:rsid w:val="00056092"/>
    <w:rsid w:val="0006212C"/>
    <w:rsid w:val="00067BCA"/>
    <w:rsid w:val="00072E36"/>
    <w:rsid w:val="0009602C"/>
    <w:rsid w:val="000A4860"/>
    <w:rsid w:val="000A5623"/>
    <w:rsid w:val="000C1611"/>
    <w:rsid w:val="000D6021"/>
    <w:rsid w:val="000E5D82"/>
    <w:rsid w:val="000F264D"/>
    <w:rsid w:val="00115E6C"/>
    <w:rsid w:val="00133459"/>
    <w:rsid w:val="00137154"/>
    <w:rsid w:val="0016204E"/>
    <w:rsid w:val="00163232"/>
    <w:rsid w:val="001743AD"/>
    <w:rsid w:val="00177A42"/>
    <w:rsid w:val="00187BAA"/>
    <w:rsid w:val="001A2B6D"/>
    <w:rsid w:val="001B03CD"/>
    <w:rsid w:val="001B50D6"/>
    <w:rsid w:val="001B642F"/>
    <w:rsid w:val="001B6CC4"/>
    <w:rsid w:val="001C4A11"/>
    <w:rsid w:val="001D1D08"/>
    <w:rsid w:val="001D4C3D"/>
    <w:rsid w:val="001D68E9"/>
    <w:rsid w:val="001E60AF"/>
    <w:rsid w:val="001E7048"/>
    <w:rsid w:val="00200D12"/>
    <w:rsid w:val="00210EC4"/>
    <w:rsid w:val="00211D65"/>
    <w:rsid w:val="00220B9D"/>
    <w:rsid w:val="002452FD"/>
    <w:rsid w:val="00262448"/>
    <w:rsid w:val="002633A5"/>
    <w:rsid w:val="00282852"/>
    <w:rsid w:val="00291370"/>
    <w:rsid w:val="00292510"/>
    <w:rsid w:val="00296979"/>
    <w:rsid w:val="002B2B36"/>
    <w:rsid w:val="002B4B1D"/>
    <w:rsid w:val="002B5DB4"/>
    <w:rsid w:val="002C3CBF"/>
    <w:rsid w:val="002C539E"/>
    <w:rsid w:val="002C5C8F"/>
    <w:rsid w:val="002D2410"/>
    <w:rsid w:val="002E1004"/>
    <w:rsid w:val="00300F71"/>
    <w:rsid w:val="00317092"/>
    <w:rsid w:val="00323DC4"/>
    <w:rsid w:val="0033098C"/>
    <w:rsid w:val="00341ED2"/>
    <w:rsid w:val="00361B0F"/>
    <w:rsid w:val="003622DB"/>
    <w:rsid w:val="003640A8"/>
    <w:rsid w:val="00365F52"/>
    <w:rsid w:val="00377D3D"/>
    <w:rsid w:val="003910B0"/>
    <w:rsid w:val="00391AD4"/>
    <w:rsid w:val="003967A8"/>
    <w:rsid w:val="003A6A55"/>
    <w:rsid w:val="003C54EA"/>
    <w:rsid w:val="003D62FC"/>
    <w:rsid w:val="003E753A"/>
    <w:rsid w:val="003F168B"/>
    <w:rsid w:val="00410213"/>
    <w:rsid w:val="00421CA1"/>
    <w:rsid w:val="00425D2B"/>
    <w:rsid w:val="0042612C"/>
    <w:rsid w:val="00435B9D"/>
    <w:rsid w:val="00446CAF"/>
    <w:rsid w:val="00447F2E"/>
    <w:rsid w:val="00466131"/>
    <w:rsid w:val="00485BDD"/>
    <w:rsid w:val="0049725A"/>
    <w:rsid w:val="004A39A1"/>
    <w:rsid w:val="004B0185"/>
    <w:rsid w:val="004D1993"/>
    <w:rsid w:val="004D52AA"/>
    <w:rsid w:val="004E1629"/>
    <w:rsid w:val="004F0A40"/>
    <w:rsid w:val="004F1BBA"/>
    <w:rsid w:val="004F4721"/>
    <w:rsid w:val="004F7366"/>
    <w:rsid w:val="0050070E"/>
    <w:rsid w:val="00500B22"/>
    <w:rsid w:val="00521488"/>
    <w:rsid w:val="00535530"/>
    <w:rsid w:val="00576E84"/>
    <w:rsid w:val="00582394"/>
    <w:rsid w:val="00595287"/>
    <w:rsid w:val="005A7174"/>
    <w:rsid w:val="005D1E31"/>
    <w:rsid w:val="005D712D"/>
    <w:rsid w:val="005F2B00"/>
    <w:rsid w:val="005F3B67"/>
    <w:rsid w:val="00605B08"/>
    <w:rsid w:val="006206D0"/>
    <w:rsid w:val="00666A65"/>
    <w:rsid w:val="00674B5F"/>
    <w:rsid w:val="00674EC2"/>
    <w:rsid w:val="0067516A"/>
    <w:rsid w:val="006877D0"/>
    <w:rsid w:val="00690462"/>
    <w:rsid w:val="00695F4D"/>
    <w:rsid w:val="006A6201"/>
    <w:rsid w:val="006A69E6"/>
    <w:rsid w:val="006A707D"/>
    <w:rsid w:val="006B5F5C"/>
    <w:rsid w:val="006B6A98"/>
    <w:rsid w:val="006D6A32"/>
    <w:rsid w:val="006E3BCF"/>
    <w:rsid w:val="0070078A"/>
    <w:rsid w:val="00740990"/>
    <w:rsid w:val="00770A5C"/>
    <w:rsid w:val="00771A59"/>
    <w:rsid w:val="007A1CBA"/>
    <w:rsid w:val="007B224B"/>
    <w:rsid w:val="007B289E"/>
    <w:rsid w:val="007D07E9"/>
    <w:rsid w:val="007D3DFF"/>
    <w:rsid w:val="007E5C7A"/>
    <w:rsid w:val="008042C0"/>
    <w:rsid w:val="008052C0"/>
    <w:rsid w:val="00815F97"/>
    <w:rsid w:val="00821018"/>
    <w:rsid w:val="00831C17"/>
    <w:rsid w:val="0083440C"/>
    <w:rsid w:val="008455F5"/>
    <w:rsid w:val="00860EBB"/>
    <w:rsid w:val="00883996"/>
    <w:rsid w:val="008A2ACE"/>
    <w:rsid w:val="008A47AE"/>
    <w:rsid w:val="008B2E91"/>
    <w:rsid w:val="008D310F"/>
    <w:rsid w:val="008E0578"/>
    <w:rsid w:val="008E578A"/>
    <w:rsid w:val="008F03F7"/>
    <w:rsid w:val="009013B9"/>
    <w:rsid w:val="00902970"/>
    <w:rsid w:val="0091007D"/>
    <w:rsid w:val="009123DC"/>
    <w:rsid w:val="00920378"/>
    <w:rsid w:val="00933660"/>
    <w:rsid w:val="00933DDE"/>
    <w:rsid w:val="00942C7E"/>
    <w:rsid w:val="0095232D"/>
    <w:rsid w:val="00963A32"/>
    <w:rsid w:val="009665CB"/>
    <w:rsid w:val="00973270"/>
    <w:rsid w:val="00975FC6"/>
    <w:rsid w:val="009A2E79"/>
    <w:rsid w:val="009A54EB"/>
    <w:rsid w:val="009A73AE"/>
    <w:rsid w:val="009A7665"/>
    <w:rsid w:val="009A7CB1"/>
    <w:rsid w:val="009C1C8E"/>
    <w:rsid w:val="009E02A5"/>
    <w:rsid w:val="009F1764"/>
    <w:rsid w:val="009F227C"/>
    <w:rsid w:val="00A05EDA"/>
    <w:rsid w:val="00A210CA"/>
    <w:rsid w:val="00A34DC6"/>
    <w:rsid w:val="00A5173B"/>
    <w:rsid w:val="00A5600A"/>
    <w:rsid w:val="00A6218B"/>
    <w:rsid w:val="00A730B9"/>
    <w:rsid w:val="00A7450B"/>
    <w:rsid w:val="00A853B9"/>
    <w:rsid w:val="00A869F1"/>
    <w:rsid w:val="00A909BB"/>
    <w:rsid w:val="00A95694"/>
    <w:rsid w:val="00A9752C"/>
    <w:rsid w:val="00AA6F1B"/>
    <w:rsid w:val="00AA7AAE"/>
    <w:rsid w:val="00AB67A7"/>
    <w:rsid w:val="00AC292B"/>
    <w:rsid w:val="00AC2C14"/>
    <w:rsid w:val="00AC565A"/>
    <w:rsid w:val="00AE3392"/>
    <w:rsid w:val="00AF3904"/>
    <w:rsid w:val="00B01AF9"/>
    <w:rsid w:val="00B04D39"/>
    <w:rsid w:val="00B134DD"/>
    <w:rsid w:val="00B13EB1"/>
    <w:rsid w:val="00B31E82"/>
    <w:rsid w:val="00B3700B"/>
    <w:rsid w:val="00B42AD4"/>
    <w:rsid w:val="00B51E2E"/>
    <w:rsid w:val="00B71C58"/>
    <w:rsid w:val="00B84E8D"/>
    <w:rsid w:val="00B94B6E"/>
    <w:rsid w:val="00BA7515"/>
    <w:rsid w:val="00BB53BC"/>
    <w:rsid w:val="00BE32A3"/>
    <w:rsid w:val="00BE70AB"/>
    <w:rsid w:val="00BF180C"/>
    <w:rsid w:val="00BF35DF"/>
    <w:rsid w:val="00C05491"/>
    <w:rsid w:val="00C07AF9"/>
    <w:rsid w:val="00C15EE7"/>
    <w:rsid w:val="00C25B4C"/>
    <w:rsid w:val="00C4391E"/>
    <w:rsid w:val="00C540A1"/>
    <w:rsid w:val="00C73314"/>
    <w:rsid w:val="00C80E27"/>
    <w:rsid w:val="00C82C15"/>
    <w:rsid w:val="00C95AC1"/>
    <w:rsid w:val="00C97E68"/>
    <w:rsid w:val="00CA034D"/>
    <w:rsid w:val="00CC25A7"/>
    <w:rsid w:val="00CD0D06"/>
    <w:rsid w:val="00CD1F84"/>
    <w:rsid w:val="00CD3AB0"/>
    <w:rsid w:val="00CF0479"/>
    <w:rsid w:val="00CF4818"/>
    <w:rsid w:val="00D032DB"/>
    <w:rsid w:val="00D33BF4"/>
    <w:rsid w:val="00D3486A"/>
    <w:rsid w:val="00D439AC"/>
    <w:rsid w:val="00D6178B"/>
    <w:rsid w:val="00D62B30"/>
    <w:rsid w:val="00D62E38"/>
    <w:rsid w:val="00D76326"/>
    <w:rsid w:val="00D81E4E"/>
    <w:rsid w:val="00D84B86"/>
    <w:rsid w:val="00D90FD7"/>
    <w:rsid w:val="00D97E19"/>
    <w:rsid w:val="00DB3789"/>
    <w:rsid w:val="00E1762A"/>
    <w:rsid w:val="00E17684"/>
    <w:rsid w:val="00E37A4E"/>
    <w:rsid w:val="00E415A6"/>
    <w:rsid w:val="00E46440"/>
    <w:rsid w:val="00E539AB"/>
    <w:rsid w:val="00E631C1"/>
    <w:rsid w:val="00E645B7"/>
    <w:rsid w:val="00E65299"/>
    <w:rsid w:val="00E701A2"/>
    <w:rsid w:val="00E7363B"/>
    <w:rsid w:val="00E73EF0"/>
    <w:rsid w:val="00E90FAF"/>
    <w:rsid w:val="00EA2877"/>
    <w:rsid w:val="00EC164C"/>
    <w:rsid w:val="00EC3D30"/>
    <w:rsid w:val="00EC4C5E"/>
    <w:rsid w:val="00ED4B0B"/>
    <w:rsid w:val="00F02F02"/>
    <w:rsid w:val="00F0756C"/>
    <w:rsid w:val="00F1295A"/>
    <w:rsid w:val="00F1436F"/>
    <w:rsid w:val="00F23926"/>
    <w:rsid w:val="00F3346F"/>
    <w:rsid w:val="00F34C4C"/>
    <w:rsid w:val="00F3665B"/>
    <w:rsid w:val="00F42CE6"/>
    <w:rsid w:val="00F450BA"/>
    <w:rsid w:val="00F52A6E"/>
    <w:rsid w:val="00F56540"/>
    <w:rsid w:val="00F76DC4"/>
    <w:rsid w:val="00F770D7"/>
    <w:rsid w:val="00FC1901"/>
    <w:rsid w:val="00FD3106"/>
    <w:rsid w:val="00FD3289"/>
    <w:rsid w:val="00FD52DE"/>
    <w:rsid w:val="00FE122D"/>
    <w:rsid w:val="00FE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D58B64-4344-4E7D-B605-ABDF447E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15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04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B04D39"/>
  </w:style>
  <w:style w:type="paragraph" w:styleId="a5">
    <w:name w:val="header"/>
    <w:basedOn w:val="a"/>
    <w:link w:val="Char"/>
    <w:rsid w:val="00BF1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BF180C"/>
    <w:rPr>
      <w:kern w:val="2"/>
      <w:sz w:val="18"/>
      <w:szCs w:val="18"/>
    </w:rPr>
  </w:style>
  <w:style w:type="character" w:customStyle="1" w:styleId="doctitle1">
    <w:name w:val="doc_title1"/>
    <w:rsid w:val="00B31E82"/>
    <w:rPr>
      <w:color w:val="333333"/>
      <w:sz w:val="30"/>
      <w:szCs w:val="30"/>
    </w:rPr>
  </w:style>
  <w:style w:type="character" w:styleId="a6">
    <w:name w:val="Emphasis"/>
    <w:uiPriority w:val="20"/>
    <w:qFormat/>
    <w:rsid w:val="00815F97"/>
    <w:rPr>
      <w:i w:val="0"/>
      <w:iCs w:val="0"/>
      <w:color w:val="CC0000"/>
    </w:rPr>
  </w:style>
  <w:style w:type="character" w:styleId="a7">
    <w:name w:val="Hyperlink"/>
    <w:uiPriority w:val="99"/>
    <w:unhideWhenUsed/>
    <w:rsid w:val="0042612C"/>
    <w:rPr>
      <w:color w:val="0000FF"/>
      <w:u w:val="single"/>
    </w:rPr>
  </w:style>
  <w:style w:type="character" w:customStyle="1" w:styleId="scayt-misspell-word">
    <w:name w:val="scayt-misspell-word"/>
    <w:basedOn w:val="a0"/>
    <w:rsid w:val="00A869F1"/>
  </w:style>
  <w:style w:type="paragraph" w:customStyle="1" w:styleId="Default">
    <w:name w:val="Default"/>
    <w:rsid w:val="00187BA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光伏系统初始投资各部分占比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Project CAPEX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光伏系统初始投资各部分占比
PV Project CAPEX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3502298729665673E-2"/>
                  <c:y val="0.164142489871131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247187851518559"/>
                  <c:y val="-2.315532131064410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096362954630667"/>
                  <c:y val="7.16762446024892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43238345206854"/>
                      <c:h val="0.1353136531365313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83877015373078E-2"/>
                  <c:y val="0.14427753726356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1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3650793650794"/>
                      <c:h val="0.175848853764128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2.8430407996155378E-2"/>
                  <c:y val="8.3532674324758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6869238136292979E-2"/>
                  <c:y val="5.419364495660212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416026121734783"/>
                  <c:y val="-2.22050419100838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66291713535808E-3"/>
                  <c:y val="-6.8882397764795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光伏组件
PV Module</c:v>
                </c:pt>
                <c:pt idx="1">
                  <c:v>建安费用
Construction</c:v>
                </c:pt>
                <c:pt idx="2">
                  <c:v>一次设备
Transformer</c:v>
                </c:pt>
                <c:pt idx="3">
                  <c:v>固定支架
Fixed Support</c:v>
                </c:pt>
                <c:pt idx="4">
                  <c:v>电网接入
Grid Access</c:v>
                </c:pt>
                <c:pt idx="5">
                  <c:v>管理费用
Management</c:v>
                </c:pt>
                <c:pt idx="6">
                  <c:v>电力电缆
Cables</c:v>
                </c:pt>
                <c:pt idx="7">
                  <c:v>土地费用
Land Lease</c:v>
                </c:pt>
                <c:pt idx="8">
                  <c:v>逆变器
Inverter</c:v>
                </c:pt>
                <c:pt idx="9">
                  <c:v>二次设备
SCADA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0.40699999999999997</c:v>
                </c:pt>
                <c:pt idx="1">
                  <c:v>0.152</c:v>
                </c:pt>
                <c:pt idx="2">
                  <c:v>0.10199999999999999</c:v>
                </c:pt>
                <c:pt idx="3">
                  <c:v>7.2999999999999995E-2</c:v>
                </c:pt>
                <c:pt idx="4">
                  <c:v>6.9000000000000006E-2</c:v>
                </c:pt>
                <c:pt idx="5">
                  <c:v>6.5000000000000002E-2</c:v>
                </c:pt>
                <c:pt idx="6">
                  <c:v>5.0999999999999997E-2</c:v>
                </c:pt>
                <c:pt idx="7">
                  <c:v>3.6999999999999998E-2</c:v>
                </c:pt>
                <c:pt idx="8">
                  <c:v>2.5999999999999999E-2</c:v>
                </c:pt>
                <c:pt idx="9">
                  <c:v>1.7999999999999999E-2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</a:rPr>
              <a:t>光伏组件成本各部分占比</a:t>
            </a:r>
            <a:endParaRPr lang="en-US" altLang="zh-CN" sz="900" b="1">
              <a:solidFill>
                <a:sysClr val="windowText" lastClr="000000"/>
              </a:solidFill>
            </a:endParaRPr>
          </a:p>
          <a:p>
            <a:pPr>
              <a:defRPr sz="900" b="1">
                <a:solidFill>
                  <a:sysClr val="windowText" lastClr="000000"/>
                </a:solidFill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Module BOM Cost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光伏组件成本各部分占比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4770769866462606E-2"/>
                  <c:y val="-2.6578798856747557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30252030626349213"/>
                  <c:y val="1.5145961558298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7572411436736"/>
                      <c:h val="0.1601310043668122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0231392390094458E-2"/>
                  <c:y val="0.1001654601024720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359593922030885E-2"/>
                  <c:y val="5.48785445983748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87909238851315"/>
                      <c:h val="0.13204039815607055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3150232485550008E-2"/>
                  <c:y val="2.70173288104874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557020941722856E-2"/>
                  <c:y val="-2.2872735290131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05882352941174"/>
                      <c:h val="0.13506445672191528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5.4647763695305968E-2"/>
                  <c:y val="-0.119133198176329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4162895927601"/>
                      <c:h val="0.1534255593741390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40353803967585167"/>
                  <c:y val="-4.76358022912133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574920322459692"/>
                      <c:h val="0.13112029313167536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电池
Cell</c:v>
                </c:pt>
                <c:pt idx="1">
                  <c:v>玻璃
Glass</c:v>
                </c:pt>
                <c:pt idx="2">
                  <c:v>背板</c:v>
                </c:pt>
                <c:pt idx="3">
                  <c:v>EVA</c:v>
                </c:pt>
                <c:pt idx="4">
                  <c:v>边框
Frame</c:v>
                </c:pt>
                <c:pt idx="5">
                  <c:v>焊带
Ribbon</c:v>
                </c:pt>
                <c:pt idx="6">
                  <c:v>接线盒
Junction Box</c:v>
                </c:pt>
                <c:pt idx="7">
                  <c:v>折旧、人工及其它
Others</c:v>
                </c:pt>
              </c:strCache>
            </c:strRef>
          </c:cat>
          <c:val>
            <c:numRef>
              <c:f>Sheet1!$B$2:$B$9</c:f>
              <c:numCache>
                <c:formatCode>0.00%</c:formatCode>
                <c:ptCount val="8"/>
                <c:pt idx="0">
                  <c:v>0.49049999999999999</c:v>
                </c:pt>
                <c:pt idx="1">
                  <c:v>9.9199999999999997E-2</c:v>
                </c:pt>
                <c:pt idx="2">
                  <c:v>4.7699999999999999E-2</c:v>
                </c:pt>
                <c:pt idx="3">
                  <c:v>6.6799999999999998E-2</c:v>
                </c:pt>
                <c:pt idx="4">
                  <c:v>0.105</c:v>
                </c:pt>
                <c:pt idx="5">
                  <c:v>4.2000000000000003E-2</c:v>
                </c:pt>
                <c:pt idx="6">
                  <c:v>6.4899999999999999E-2</c:v>
                </c:pt>
                <c:pt idx="7">
                  <c:v>8.4000000000000005E-2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altLang="en-US" sz="900" b="1">
                <a:solidFill>
                  <a:sysClr val="windowText" lastClr="000000"/>
                </a:solidFill>
                <a:latin typeface="+mn-ea"/>
                <a:ea typeface="+mn-ea"/>
              </a:rPr>
              <a:t>光伏支架成本走势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Structure Cost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冷轧钢板 Cold Rolled Plate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2800</c:v>
                </c:pt>
                <c:pt idx="1">
                  <c:v>3200</c:v>
                </c:pt>
                <c:pt idx="2">
                  <c:v>4200</c:v>
                </c:pt>
                <c:pt idx="3">
                  <c:v>4500</c:v>
                </c:pt>
                <c:pt idx="4">
                  <c:v>4600</c:v>
                </c:pt>
                <c:pt idx="5">
                  <c:v>4700</c:v>
                </c:pt>
                <c:pt idx="6">
                  <c:v>4750</c:v>
                </c:pt>
                <c:pt idx="7">
                  <c:v>4800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热浸锌 Hot Dip Galvanizing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  <c:pt idx="0">
                  <c:v>1200</c:v>
                </c:pt>
                <c:pt idx="1">
                  <c:v>1400</c:v>
                </c:pt>
                <c:pt idx="2">
                  <c:v>1600</c:v>
                </c:pt>
                <c:pt idx="3">
                  <c:v>1800</c:v>
                </c:pt>
                <c:pt idx="4">
                  <c:v>1900</c:v>
                </c:pt>
                <c:pt idx="5">
                  <c:v>2000</c:v>
                </c:pt>
                <c:pt idx="6">
                  <c:v>2200</c:v>
                </c:pt>
                <c:pt idx="7">
                  <c:v>2400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98087536"/>
        <c:axId val="-398080464"/>
      </c:lineChart>
      <c:dateAx>
        <c:axId val="-398087536"/>
        <c:scaling>
          <c:orientation val="minMax"/>
        </c:scaling>
        <c:delete val="0"/>
        <c:axPos val="b"/>
        <c:numFmt formatCode="[$-409]d\-mmm\-yy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-398080464"/>
        <c:crosses val="autoZero"/>
        <c:auto val="1"/>
        <c:lblOffset val="100"/>
        <c:baseTimeUnit val="months"/>
      </c:dateAx>
      <c:valAx>
        <c:axId val="-39808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-39808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8D2E-E12C-490A-9999-CF8F82BCF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156</Words>
  <Characters>890</Characters>
  <Application>Microsoft Office Word</Application>
  <DocSecurity>0</DocSecurity>
  <Lines>7</Lines>
  <Paragraphs>2</Paragraphs>
  <ScaleCrop>false</ScaleCrop>
  <Company>gradschool</Company>
  <LinksUpToDate>false</LinksUpToDate>
  <CharactersWithSpaces>1044</CharactersWithSpaces>
  <SharedDoc>false</SharedDoc>
  <HLinks>
    <vt:vector size="6" baseType="variant">
      <vt:variant>
        <vt:i4>6422637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中国科学技术大学</dc:title>
  <dc:subject/>
  <dc:creator>chenwei</dc:creator>
  <cp:keywords/>
  <dc:description/>
  <cp:lastModifiedBy>Han Rick</cp:lastModifiedBy>
  <cp:revision>19</cp:revision>
  <cp:lastPrinted>2004-08-25T07:57:00Z</cp:lastPrinted>
  <dcterms:created xsi:type="dcterms:W3CDTF">2019-12-02T00:08:00Z</dcterms:created>
  <dcterms:modified xsi:type="dcterms:W3CDTF">2019-12-03T05:14:00Z</dcterms:modified>
</cp:coreProperties>
</file>