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398" w:right="357" w:firstLine="0"/>
        <w:jc w:val="center"/>
        <w:rPr>
          <w:b/>
          <w:sz w:val="40"/>
        </w:rPr>
      </w:pPr>
      <w:r>
        <w:rPr>
          <w:b/>
          <w:sz w:val="40"/>
        </w:rPr>
        <w:t>Technologies for Profitable Recycling of Si Modules</w:t>
      </w:r>
    </w:p>
    <w:p>
      <w:pPr>
        <w:spacing w:before="180"/>
        <w:ind w:left="395" w:right="357" w:firstLine="0"/>
        <w:jc w:val="center"/>
        <w:rPr>
          <w:b/>
          <w:sz w:val="13"/>
        </w:rPr>
      </w:pPr>
      <w:r>
        <w:rPr>
          <w:b/>
          <w:sz w:val="20"/>
        </w:rPr>
        <w:t>C. S. Tao,</w:t>
      </w:r>
      <w:r>
        <w:rPr>
          <w:b/>
          <w:position w:val="7"/>
          <w:sz w:val="13"/>
        </w:rPr>
        <w:t>1 </w:t>
      </w:r>
      <w:r>
        <w:rPr>
          <w:b/>
          <w:sz w:val="20"/>
        </w:rPr>
        <w:t>W.-H. Huang,</w:t>
      </w:r>
      <w:r>
        <w:rPr>
          <w:b/>
          <w:position w:val="7"/>
          <w:sz w:val="13"/>
        </w:rPr>
        <w:t>2 </w:t>
      </w:r>
      <w:r>
        <w:rPr>
          <w:b/>
          <w:sz w:val="20"/>
        </w:rPr>
        <w:t>Z. Zhou,</w:t>
      </w:r>
      <w:r>
        <w:rPr>
          <w:b/>
          <w:position w:val="7"/>
          <w:sz w:val="13"/>
        </w:rPr>
        <w:t>3 </w:t>
      </w:r>
      <w:r>
        <w:rPr>
          <w:b/>
          <w:sz w:val="20"/>
        </w:rPr>
        <w:t>R. Lyu,</w:t>
      </w:r>
      <w:r>
        <w:rPr>
          <w:b/>
          <w:position w:val="7"/>
          <w:sz w:val="13"/>
        </w:rPr>
        <w:t>3 </w:t>
      </w:r>
      <w:r>
        <w:rPr>
          <w:b/>
          <w:sz w:val="20"/>
        </w:rPr>
        <w:t>L. Ricci,</w:t>
      </w:r>
      <w:r>
        <w:rPr>
          <w:b/>
          <w:position w:val="7"/>
          <w:sz w:val="13"/>
        </w:rPr>
        <w:t>1 </w:t>
      </w:r>
      <w:r>
        <w:rPr>
          <w:b/>
          <w:sz w:val="20"/>
        </w:rPr>
        <w:t>C. Tezak,</w:t>
      </w:r>
      <w:r>
        <w:rPr>
          <w:b/>
          <w:position w:val="7"/>
          <w:sz w:val="13"/>
        </w:rPr>
        <w:t>2 </w:t>
      </w:r>
      <w:r>
        <w:rPr>
          <w:b/>
          <w:sz w:val="20"/>
        </w:rPr>
        <w:t>J.-N. Jaubert,</w:t>
      </w:r>
      <w:r>
        <w:rPr>
          <w:b/>
          <w:position w:val="7"/>
          <w:sz w:val="13"/>
        </w:rPr>
        <w:t>3 </w:t>
      </w:r>
      <w:r>
        <w:rPr>
          <w:b/>
          <w:sz w:val="20"/>
        </w:rPr>
        <w:t>and M. Tao</w:t>
      </w:r>
      <w:r>
        <w:rPr>
          <w:b/>
          <w:position w:val="7"/>
          <w:sz w:val="13"/>
        </w:rPr>
        <w:t>2</w:t>
      </w:r>
    </w:p>
    <w:p>
      <w:pPr>
        <w:spacing w:line="233" w:lineRule="exact" w:before="177"/>
        <w:ind w:left="396" w:right="357" w:firstLine="0"/>
        <w:jc w:val="center"/>
        <w:rPr>
          <w:sz w:val="20"/>
        </w:rPr>
      </w:pPr>
      <w:r>
        <w:rPr>
          <w:position w:val="7"/>
          <w:sz w:val="13"/>
        </w:rPr>
        <w:t>1 </w:t>
      </w:r>
      <w:r>
        <w:rPr>
          <w:sz w:val="20"/>
        </w:rPr>
        <w:t>TG Companies LLC, Tucson, Arizona 85747, USA</w:t>
      </w:r>
    </w:p>
    <w:p>
      <w:pPr>
        <w:spacing w:line="230" w:lineRule="exact" w:before="0"/>
        <w:ind w:left="396" w:right="357" w:firstLine="0"/>
        <w:jc w:val="center"/>
        <w:rPr>
          <w:sz w:val="20"/>
        </w:rPr>
      </w:pPr>
      <w:r>
        <w:rPr>
          <w:position w:val="7"/>
          <w:sz w:val="13"/>
        </w:rPr>
        <w:t>2 </w:t>
      </w:r>
      <w:r>
        <w:rPr>
          <w:sz w:val="20"/>
        </w:rPr>
        <w:t>Arizona State University, PO Box 875706, Tempe, Arizona 85287, USA</w:t>
      </w:r>
    </w:p>
    <w:p>
      <w:pPr>
        <w:spacing w:line="233" w:lineRule="exact" w:before="0"/>
        <w:ind w:left="397" w:right="357" w:firstLine="0"/>
        <w:jc w:val="center"/>
        <w:rPr>
          <w:sz w:val="20"/>
        </w:rPr>
      </w:pPr>
      <w:r>
        <w:rPr>
          <w:position w:val="7"/>
          <w:sz w:val="13"/>
        </w:rPr>
        <w:t>3 </w:t>
      </w:r>
      <w:r>
        <w:rPr>
          <w:sz w:val="20"/>
        </w:rPr>
        <w:t>Canadian Solar, Inc. Changshu, Jiangsu, China 215562</w:t>
      </w:r>
    </w:p>
    <w:p>
      <w:pPr>
        <w:pStyle w:val="BodyText"/>
        <w:spacing w:before="184"/>
        <w:ind w:right="172"/>
      </w:pPr>
      <w:r>
        <w:rPr/>
        <w:t>Solar module recycling is unprofitable today. In this paper potential revenues from waste Si modules are analyzed. The biggest revenue potential comes from the Si cells, extracted intact or broken. The second revenue source is the bulky materials in the modules including Al frame, Cu wiring and glass. The total revenue is estimated between US$11–30/module depending on the percentage of cells extracted intact. This revenue is 4–10 times better than today’s recycling process that recovers only the bulky materials. Experimentally a special furnace has been demonstrated to successfully separate thin commercial Si cells of 160 </w:t>
      </w:r>
      <w:r>
        <w:rPr>
          <w:rFonts w:ascii="Symbol" w:hAnsi="Symbol"/>
        </w:rPr>
        <w:t></w:t>
      </w:r>
      <w:r>
        <w:rPr/>
        <w:t>m from glass unbroken. From damaged cells a new chemistry has been developed to recover solar-grade Si and Ag. It requires fewer steps than today’s recycling process, with Ag recovery of 97% and Si recovery of 90%. A prototype recycling line is needed to assess the cost of the new process.</w:t>
      </w:r>
    </w:p>
    <w:p>
      <w:pPr>
        <w:spacing w:before="117"/>
        <w:ind w:left="160" w:right="207" w:firstLine="0"/>
        <w:jc w:val="left"/>
        <w:rPr>
          <w:sz w:val="18"/>
        </w:rPr>
      </w:pPr>
      <w:r>
        <w:rPr>
          <w:sz w:val="18"/>
        </w:rPr>
        <w:t>C. S. Tao is the Principal Engineer at TG Companies, leading the development and commercialization of process and equipment for silicon solar cell and module recycling.</w:t>
      </w:r>
      <w:r>
        <w:rPr>
          <w:color w:val="0563C1"/>
          <w:sz w:val="18"/>
        </w:rPr>
        <w:t> </w:t>
      </w:r>
      <w:hyperlink r:id="rId5">
        <w:r>
          <w:rPr>
            <w:color w:val="0563C1"/>
            <w:sz w:val="18"/>
            <w:u w:val="single" w:color="0563C1"/>
          </w:rPr>
          <w:t>cobytao@tg-companies.com</w:t>
        </w:r>
        <w:r>
          <w:rPr>
            <w:sz w:val="18"/>
          </w:rPr>
          <w:t>.</w:t>
        </w:r>
      </w:hyperlink>
    </w:p>
    <w:p>
      <w:pPr>
        <w:pStyle w:val="BodyText"/>
        <w:spacing w:before="3"/>
        <w:ind w:left="0"/>
        <w:rPr>
          <w:sz w:val="16"/>
        </w:rPr>
      </w:pPr>
    </w:p>
    <w:p>
      <w:pPr>
        <w:pStyle w:val="BodyText"/>
      </w:pPr>
      <w:r>
        <w:rPr>
          <w:b/>
        </w:rPr>
        <w:t>Key Words</w:t>
      </w:r>
      <w:r>
        <w:rPr/>
        <w:t>: Recycling, Solar Modules, Solar Cells, Silicon</w:t>
      </w:r>
    </w:p>
    <w:p>
      <w:pPr>
        <w:pStyle w:val="BodyText"/>
        <w:spacing w:before="184"/>
        <w:ind w:right="130" w:hanging="1"/>
      </w:pPr>
      <w:r>
        <w:rPr>
          <w:b/>
        </w:rPr>
        <w:t>Introduction </w:t>
      </w:r>
      <w:r>
        <w:rPr/>
        <w:t>– As the deployment of solar modules expands rapidly, so will their wastes. By 2050, waste modules are projected to total 78 million tonnes or 4.2 billion modules cumulative [1]. Although the need to recycle waste modules is widely recognized, it is rarely practiced as it is unprofitable today. The EU imposes an upfront fee on module manufacturers to cover the cost of recycling, but that fee is far below the actual cost to collect and process waste modules. In the US, the Solar Energy Industries Association initiated a voluntary recycling program in 2016. However, module owners must pay a high price for that service, which significantly curtails potential interests in module recycling.</w:t>
      </w:r>
    </w:p>
    <w:p>
      <w:pPr>
        <w:pStyle w:val="BodyText"/>
        <w:ind w:right="116" w:firstLine="360"/>
      </w:pPr>
      <w:r>
        <w:rPr/>
        <w:t>Today’s recycling processes for Si modules generate a small revenue of ~US$3/module, as it recovers only the bulky materials including Al frame, Cu wiring and glass. All the Si cells along with the polymer sheets are shredded with the glass. Although the glass itself is highly-transparent solar glass, the recycled glass is contaminated and can not be used as solar glass without additional purification. Therefore, an important question for Si module recycling is whether there is more revenue from waste Si modules.</w:t>
      </w:r>
    </w:p>
    <w:p>
      <w:pPr>
        <w:spacing w:after="0"/>
        <w:sectPr>
          <w:type w:val="continuous"/>
          <w:pgSz w:w="12240" w:h="15840"/>
          <w:pgMar w:top="1380" w:bottom="280" w:left="1280" w:right="1320"/>
        </w:sectPr>
      </w:pPr>
    </w:p>
    <w:p>
      <w:pPr>
        <w:pStyle w:val="BodyText"/>
        <w:spacing w:before="120"/>
        <w:ind w:right="201"/>
      </w:pPr>
      <w:r>
        <w:rPr>
          <w:b/>
        </w:rPr>
        <w:t>Potential Revenues </w:t>
      </w:r>
      <w:r>
        <w:rPr/>
        <w:t>– There are several possible ways to increase the revenue from waste Si modules:</w:t>
      </w:r>
    </w:p>
    <w:p>
      <w:pPr>
        <w:pStyle w:val="ListParagraph"/>
        <w:numPr>
          <w:ilvl w:val="0"/>
          <w:numId w:val="1"/>
        </w:numPr>
        <w:tabs>
          <w:tab w:pos="653" w:val="left" w:leader="none"/>
        </w:tabs>
        <w:spacing w:line="240" w:lineRule="auto" w:before="2" w:after="0"/>
        <w:ind w:left="160" w:right="326" w:firstLine="360"/>
        <w:jc w:val="left"/>
        <w:rPr>
          <w:sz w:val="22"/>
        </w:rPr>
      </w:pPr>
      <w:r>
        <w:rPr>
          <w:i/>
          <w:sz w:val="22"/>
        </w:rPr>
        <w:t>Reuse of decommissioned modules in secondary </w:t>
      </w:r>
      <w:r>
        <w:rPr>
          <w:i/>
          <w:sz w:val="22"/>
        </w:rPr>
        <w:t>markets</w:t>
      </w:r>
      <w:r>
        <w:rPr>
          <w:sz w:val="22"/>
        </w:rPr>
        <w:t>: The question is will these markets be large enough and sustained to absorb hundreds of</w:t>
      </w:r>
      <w:r>
        <w:rPr>
          <w:spacing w:val="-16"/>
          <w:sz w:val="22"/>
        </w:rPr>
        <w:t> </w:t>
      </w:r>
      <w:r>
        <w:rPr>
          <w:sz w:val="22"/>
        </w:rPr>
        <w:t>GWp/year?</w:t>
      </w:r>
    </w:p>
    <w:p>
      <w:pPr>
        <w:pStyle w:val="ListParagraph"/>
        <w:numPr>
          <w:ilvl w:val="0"/>
          <w:numId w:val="1"/>
        </w:numPr>
        <w:tabs>
          <w:tab w:pos="653" w:val="left" w:leader="none"/>
        </w:tabs>
        <w:spacing w:line="240" w:lineRule="auto" w:before="0" w:after="0"/>
        <w:ind w:left="160" w:right="0" w:firstLine="360"/>
        <w:jc w:val="left"/>
        <w:rPr>
          <w:sz w:val="22"/>
        </w:rPr>
      </w:pPr>
      <w:r>
        <w:rPr>
          <w:i/>
          <w:sz w:val="22"/>
        </w:rPr>
        <w:t>Reuse of extracted cells for new modules</w:t>
      </w:r>
      <w:r>
        <w:rPr>
          <w:sz w:val="22"/>
        </w:rPr>
        <w:t>: Si cells typically retain their good efficiencies far longer than the modules. Table 1 shows the best scenario revenue if all the Al BSF cells can be extracted intact, ~$31/module as of 4/29/2019. One concern is that 25-year old cells have lower efficiencies and can not sold at the current cell prices. This issue is expected to be short-term. The pace at which</w:t>
      </w:r>
      <w:r>
        <w:rPr>
          <w:spacing w:val="-7"/>
          <w:sz w:val="22"/>
        </w:rPr>
        <w:t> </w:t>
      </w:r>
      <w:r>
        <w:rPr>
          <w:sz w:val="22"/>
        </w:rPr>
        <w:t>cell</w:t>
      </w:r>
    </w:p>
    <w:p>
      <w:pPr>
        <w:tabs>
          <w:tab w:pos="4076" w:val="left" w:leader="none"/>
        </w:tabs>
        <w:spacing w:before="97"/>
        <w:ind w:left="34" w:right="107" w:firstLine="0"/>
        <w:jc w:val="left"/>
        <w:rPr>
          <w:sz w:val="20"/>
        </w:rPr>
      </w:pPr>
      <w:r>
        <w:rPr/>
        <w:br w:type="column"/>
      </w:r>
      <w:r>
        <w:rPr>
          <w:b/>
          <w:sz w:val="20"/>
        </w:rPr>
        <w:t>Table 1</w:t>
      </w:r>
      <w:r>
        <w:rPr>
          <w:sz w:val="20"/>
        </w:rPr>
        <w:t>. Best-scenario revenue from Al BSF </w:t>
      </w:r>
      <w:r>
        <w:rPr>
          <w:sz w:val="20"/>
          <w:u w:val="single"/>
        </w:rPr>
        <w:t>modules as of 4/29/2019,</w:t>
      </w:r>
      <w:r>
        <w:rPr>
          <w:spacing w:val="-32"/>
          <w:sz w:val="20"/>
          <w:u w:val="single"/>
        </w:rPr>
        <w:t> </w:t>
      </w:r>
      <w:r>
        <w:rPr>
          <w:sz w:val="20"/>
          <w:u w:val="single"/>
        </w:rPr>
        <w:t>$31.12/module.</w:t>
        <w:tab/>
      </w:r>
    </w:p>
    <w:p>
      <w:pPr>
        <w:tabs>
          <w:tab w:pos="1222" w:val="left" w:leader="none"/>
          <w:tab w:pos="1479" w:val="left" w:leader="none"/>
          <w:tab w:pos="2502" w:val="left" w:leader="none"/>
          <w:tab w:pos="3281" w:val="left" w:leader="none"/>
          <w:tab w:pos="3474" w:val="left" w:leader="none"/>
        </w:tabs>
        <w:spacing w:line="249" w:lineRule="auto" w:before="9"/>
        <w:ind w:left="328" w:right="107" w:hanging="294"/>
        <w:jc w:val="left"/>
        <w:rPr>
          <w:sz w:val="20"/>
        </w:rPr>
      </w:pPr>
      <w:r>
        <w:rPr/>
        <w:pict>
          <v:shapetype id="_x0000_t202" o:spt="202" coordsize="21600,21600" path="m,l,21600r21600,l21600,xe">
            <v:stroke joinstyle="miter"/>
            <v:path gradientshapeok="t" o:connecttype="rect"/>
          </v:shapetype>
          <v:shape style="position:absolute;margin-left:342.920227pt;margin-top:24.377169pt;width:182.65pt;height:22.65pt;mso-position-horizontal-relative:page;mso-position-vertical-relative:paragraph;z-index:1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0"/>
                    <w:gridCol w:w="1028"/>
                    <w:gridCol w:w="988"/>
                    <w:gridCol w:w="555"/>
                  </w:tblGrid>
                  <w:tr>
                    <w:trPr>
                      <w:trHeight w:val="226" w:hRule="atLeast"/>
                    </w:trPr>
                    <w:tc>
                      <w:tcPr>
                        <w:tcW w:w="1080" w:type="dxa"/>
                      </w:tcPr>
                      <w:p>
                        <w:pPr>
                          <w:pStyle w:val="TableParagraph"/>
                          <w:spacing w:line="206" w:lineRule="exact"/>
                          <w:ind w:left="30" w:right="250"/>
                          <w:rPr>
                            <w:sz w:val="20"/>
                          </w:rPr>
                        </w:pPr>
                        <w:r>
                          <w:rPr>
                            <w:sz w:val="20"/>
                          </w:rPr>
                          <w:t>Al</w:t>
                        </w:r>
                      </w:p>
                    </w:tc>
                    <w:tc>
                      <w:tcPr>
                        <w:tcW w:w="1028" w:type="dxa"/>
                      </w:tcPr>
                      <w:p>
                        <w:pPr>
                          <w:pStyle w:val="TableParagraph"/>
                          <w:spacing w:line="206" w:lineRule="exact"/>
                          <w:ind w:left="276"/>
                          <w:jc w:val="left"/>
                          <w:rPr>
                            <w:sz w:val="20"/>
                          </w:rPr>
                        </w:pPr>
                        <w:r>
                          <w:rPr>
                            <w:sz w:val="20"/>
                          </w:rPr>
                          <w:t>100%</w:t>
                        </w:r>
                      </w:p>
                    </w:tc>
                    <w:tc>
                      <w:tcPr>
                        <w:tcW w:w="988" w:type="dxa"/>
                      </w:tcPr>
                      <w:p>
                        <w:pPr>
                          <w:pStyle w:val="TableParagraph"/>
                          <w:spacing w:line="206" w:lineRule="exact"/>
                          <w:ind w:left="264" w:right="234"/>
                          <w:rPr>
                            <w:sz w:val="20"/>
                          </w:rPr>
                        </w:pPr>
                        <w:r>
                          <w:rPr>
                            <w:sz w:val="20"/>
                          </w:rPr>
                          <w:t>$2.09</w:t>
                        </w:r>
                      </w:p>
                    </w:tc>
                    <w:tc>
                      <w:tcPr>
                        <w:tcW w:w="555" w:type="dxa"/>
                      </w:tcPr>
                      <w:p>
                        <w:pPr>
                          <w:pStyle w:val="TableParagraph"/>
                          <w:spacing w:line="206" w:lineRule="exact"/>
                          <w:ind w:right="46"/>
                          <w:jc w:val="right"/>
                          <w:rPr>
                            <w:sz w:val="20"/>
                          </w:rPr>
                        </w:pPr>
                        <w:r>
                          <w:rPr>
                            <w:sz w:val="20"/>
                          </w:rPr>
                          <w:t>6.7</w:t>
                        </w:r>
                      </w:p>
                    </w:tc>
                  </w:tr>
                  <w:tr>
                    <w:trPr>
                      <w:trHeight w:val="226" w:hRule="atLeast"/>
                    </w:trPr>
                    <w:tc>
                      <w:tcPr>
                        <w:tcW w:w="1080" w:type="dxa"/>
                      </w:tcPr>
                      <w:p>
                        <w:pPr>
                          <w:pStyle w:val="TableParagraph"/>
                          <w:spacing w:line="206" w:lineRule="exact"/>
                          <w:ind w:left="30" w:right="253"/>
                          <w:rPr>
                            <w:sz w:val="20"/>
                          </w:rPr>
                        </w:pPr>
                        <w:r>
                          <w:rPr>
                            <w:sz w:val="20"/>
                          </w:rPr>
                          <w:t>Polymers</w:t>
                        </w:r>
                      </w:p>
                    </w:tc>
                    <w:tc>
                      <w:tcPr>
                        <w:tcW w:w="1028" w:type="dxa"/>
                      </w:tcPr>
                      <w:p>
                        <w:pPr>
                          <w:pStyle w:val="TableParagraph"/>
                          <w:spacing w:line="206" w:lineRule="exact"/>
                          <w:ind w:left="326"/>
                          <w:jc w:val="left"/>
                          <w:rPr>
                            <w:sz w:val="20"/>
                          </w:rPr>
                        </w:pPr>
                        <w:r>
                          <w:rPr>
                            <w:sz w:val="20"/>
                          </w:rPr>
                          <w:t>67%</w:t>
                        </w:r>
                      </w:p>
                    </w:tc>
                    <w:tc>
                      <w:tcPr>
                        <w:tcW w:w="988" w:type="dxa"/>
                      </w:tcPr>
                      <w:p>
                        <w:pPr>
                          <w:pStyle w:val="TableParagraph"/>
                          <w:spacing w:line="206" w:lineRule="exact"/>
                          <w:ind w:left="264" w:right="230"/>
                          <w:rPr>
                            <w:sz w:val="20"/>
                          </w:rPr>
                        </w:pPr>
                        <w:r>
                          <w:rPr>
                            <w:sz w:val="20"/>
                          </w:rPr>
                          <w:t>n/a</w:t>
                        </w:r>
                      </w:p>
                    </w:tc>
                    <w:tc>
                      <w:tcPr>
                        <w:tcW w:w="555" w:type="dxa"/>
                      </w:tcPr>
                      <w:p>
                        <w:pPr>
                          <w:pStyle w:val="TableParagraph"/>
                          <w:spacing w:line="206" w:lineRule="exact"/>
                          <w:ind w:right="120"/>
                          <w:jc w:val="right"/>
                          <w:rPr>
                            <w:sz w:val="20"/>
                          </w:rPr>
                        </w:pPr>
                        <w:r>
                          <w:rPr>
                            <w:w w:val="100"/>
                            <w:sz w:val="20"/>
                          </w:rPr>
                          <w:t>0</w:t>
                        </w:r>
                      </w:p>
                    </w:tc>
                  </w:tr>
                </w:tbl>
                <w:p>
                  <w:pPr>
                    <w:pStyle w:val="BodyText"/>
                    <w:ind w:left="0"/>
                  </w:pPr>
                </w:p>
              </w:txbxContent>
            </v:textbox>
            <w10:wrap type="none"/>
          </v:shape>
        </w:pict>
      </w:r>
      <w:r>
        <w:rPr>
          <w:w w:val="100"/>
          <w:sz w:val="20"/>
          <w:u w:val="single"/>
        </w:rPr>
        <w:t> </w:t>
      </w:r>
      <w:r>
        <w:rPr>
          <w:sz w:val="20"/>
          <w:u w:val="single"/>
        </w:rPr>
        <w:t>  </w:t>
      </w:r>
      <w:r>
        <w:rPr>
          <w:spacing w:val="-23"/>
          <w:sz w:val="20"/>
          <w:u w:val="single"/>
        </w:rPr>
        <w:t> </w:t>
      </w:r>
      <w:r>
        <w:rPr>
          <w:sz w:val="20"/>
          <w:u w:val="single"/>
        </w:rPr>
        <w:t>Material</w:t>
        <w:tab/>
        <w:t>Recovery</w:t>
      </w:r>
      <w:r>
        <w:rPr>
          <w:spacing w:val="-1"/>
          <w:sz w:val="20"/>
          <w:u w:val="single"/>
        </w:rPr>
        <w:t> </w:t>
      </w:r>
      <w:r>
        <w:rPr>
          <w:sz w:val="20"/>
          <w:u w:val="single"/>
        </w:rPr>
        <w:t>%</w:t>
        <w:tab/>
        <w:t>Value</w:t>
        <w:tab/>
        <w:t>% Total</w:t>
      </w:r>
      <w:r>
        <w:rPr>
          <w:sz w:val="20"/>
        </w:rPr>
        <w:t> Glass</w:t>
        <w:tab/>
        <w:tab/>
        <w:t>100%</w:t>
        <w:tab/>
        <w:t>$0.95</w:t>
        <w:tab/>
        <w:tab/>
        <w:t>3.1</w:t>
      </w:r>
    </w:p>
    <w:p>
      <w:pPr>
        <w:tabs>
          <w:tab w:pos="1480" w:val="left" w:leader="none"/>
          <w:tab w:pos="2467" w:val="left" w:leader="none"/>
          <w:tab w:pos="3425" w:val="left" w:leader="none"/>
          <w:tab w:pos="4076" w:val="left" w:leader="none"/>
        </w:tabs>
        <w:spacing w:before="451"/>
        <w:ind w:left="159" w:right="0" w:hanging="140"/>
        <w:jc w:val="left"/>
        <w:rPr>
          <w:sz w:val="20"/>
        </w:rPr>
      </w:pPr>
      <w:r>
        <w:rPr>
          <w:w w:val="100"/>
          <w:sz w:val="20"/>
          <w:u w:val="single"/>
        </w:rPr>
        <w:t> </w:t>
      </w:r>
      <w:r>
        <w:rPr>
          <w:sz w:val="20"/>
          <w:u w:val="single"/>
        </w:rPr>
        <w:t> </w:t>
      </w:r>
      <w:r>
        <w:rPr>
          <w:spacing w:val="-7"/>
          <w:sz w:val="20"/>
          <w:u w:val="single"/>
        </w:rPr>
        <w:t> </w:t>
      </w:r>
      <w:r>
        <w:rPr>
          <w:sz w:val="20"/>
          <w:u w:val="single"/>
        </w:rPr>
        <w:t>BSF</w:t>
      </w:r>
      <w:r>
        <w:rPr>
          <w:spacing w:val="-1"/>
          <w:sz w:val="20"/>
          <w:u w:val="single"/>
        </w:rPr>
        <w:t> </w:t>
      </w:r>
      <w:r>
        <w:rPr>
          <w:sz w:val="20"/>
          <w:u w:val="single"/>
        </w:rPr>
        <w:t>cells</w:t>
        <w:tab/>
        <w:t>100%</w:t>
        <w:tab/>
        <w:t>$28.08</w:t>
        <w:tab/>
        <w:t>90.2</w:t>
        <w:tab/>
      </w:r>
    </w:p>
    <w:p>
      <w:pPr>
        <w:tabs>
          <w:tab w:pos="4075" w:val="left" w:leader="none"/>
        </w:tabs>
        <w:spacing w:before="87"/>
        <w:ind w:left="159" w:right="107" w:firstLine="0"/>
        <w:jc w:val="left"/>
        <w:rPr>
          <w:sz w:val="20"/>
        </w:rPr>
      </w:pPr>
      <w:r>
        <w:rPr>
          <w:b/>
          <w:sz w:val="20"/>
        </w:rPr>
        <w:t>Table 2</w:t>
      </w:r>
      <w:r>
        <w:rPr>
          <w:sz w:val="20"/>
        </w:rPr>
        <w:t>. Worst-scenario revenue from Al BSF </w:t>
      </w:r>
      <w:r>
        <w:rPr>
          <w:sz w:val="20"/>
          <w:u w:val="single"/>
        </w:rPr>
        <w:t>modules as of 4/29/2019, $11.41/module</w:t>
      </w:r>
      <w:r>
        <w:rPr>
          <w:spacing w:val="-34"/>
          <w:sz w:val="20"/>
          <w:u w:val="single"/>
        </w:rPr>
        <w:t> </w:t>
      </w:r>
      <w:r>
        <w:rPr>
          <w:sz w:val="20"/>
          <w:u w:val="single"/>
        </w:rPr>
        <w:t>[2].</w:t>
        <w:tab/>
      </w:r>
    </w:p>
    <w:p>
      <w:pPr>
        <w:tabs>
          <w:tab w:pos="1289" w:val="left" w:leader="none"/>
          <w:tab w:pos="1546" w:val="left" w:leader="none"/>
          <w:tab w:pos="2537" w:val="left" w:leader="none"/>
          <w:tab w:pos="3280" w:val="left" w:leader="none"/>
          <w:tab w:pos="3473" w:val="left" w:leader="none"/>
        </w:tabs>
        <w:spacing w:line="249" w:lineRule="auto" w:before="9"/>
        <w:ind w:left="423" w:right="107" w:hanging="264"/>
        <w:jc w:val="left"/>
        <w:rPr>
          <w:sz w:val="20"/>
        </w:rPr>
      </w:pPr>
      <w:r>
        <w:rPr>
          <w:w w:val="100"/>
          <w:sz w:val="20"/>
          <w:u w:val="single"/>
        </w:rPr>
        <w:t> </w:t>
      </w:r>
      <w:r>
        <w:rPr>
          <w:sz w:val="20"/>
          <w:u w:val="single"/>
        </w:rPr>
        <w:t> </w:t>
      </w:r>
      <w:r>
        <w:rPr>
          <w:spacing w:val="-4"/>
          <w:sz w:val="20"/>
          <w:u w:val="single"/>
        </w:rPr>
        <w:t> </w:t>
      </w:r>
      <w:r>
        <w:rPr>
          <w:sz w:val="20"/>
          <w:u w:val="single"/>
        </w:rPr>
        <w:t>Material</w:t>
        <w:tab/>
        <w:t>Recovery</w:t>
      </w:r>
      <w:r>
        <w:rPr>
          <w:spacing w:val="-1"/>
          <w:sz w:val="20"/>
          <w:u w:val="single"/>
        </w:rPr>
        <w:t> </w:t>
      </w:r>
      <w:r>
        <w:rPr>
          <w:sz w:val="20"/>
          <w:u w:val="single"/>
        </w:rPr>
        <w:t>%</w:t>
        <w:tab/>
        <w:t>Value</w:t>
        <w:tab/>
        <w:t>% Total</w:t>
      </w:r>
      <w:r>
        <w:rPr>
          <w:sz w:val="20"/>
        </w:rPr>
        <w:t> Glass</w:t>
        <w:tab/>
        <w:tab/>
        <w:t>100%</w:t>
        <w:tab/>
        <w:t>$0.95</w:t>
        <w:tab/>
        <w:tab/>
        <w:t>8.3</w:t>
      </w:r>
    </w:p>
    <w:p>
      <w:pPr>
        <w:tabs>
          <w:tab w:pos="1546" w:val="left" w:leader="none"/>
          <w:tab w:pos="2550" w:val="left" w:leader="none"/>
          <w:tab w:pos="3423" w:val="left" w:leader="none"/>
        </w:tabs>
        <w:spacing w:line="222" w:lineRule="exact" w:before="0"/>
        <w:ind w:left="544" w:right="0" w:firstLine="0"/>
        <w:jc w:val="left"/>
        <w:rPr>
          <w:sz w:val="20"/>
        </w:rPr>
      </w:pPr>
      <w:r>
        <w:rPr>
          <w:sz w:val="20"/>
        </w:rPr>
        <w:t>Al</w:t>
        <w:tab/>
        <w:t>100%</w:t>
        <w:tab/>
        <w:t>$2.09</w:t>
        <w:tab/>
        <w:t>18.3</w:t>
      </w:r>
    </w:p>
    <w:p>
      <w:pPr>
        <w:tabs>
          <w:tab w:pos="1596" w:val="left" w:leader="none"/>
          <w:tab w:pos="2654" w:val="left" w:leader="none"/>
          <w:tab w:pos="3549" w:val="left" w:leader="none"/>
        </w:tabs>
        <w:spacing w:before="1"/>
        <w:ind w:left="267" w:right="0" w:firstLine="0"/>
        <w:jc w:val="left"/>
        <w:rPr>
          <w:sz w:val="20"/>
        </w:rPr>
      </w:pPr>
      <w:r>
        <w:rPr/>
        <w:pict>
          <v:shape style="position:absolute;margin-left:69.502197pt;margin-top:9.200190pt;width:458.5pt;height:37.450pt;mso-position-horizontal-relative:page;mso-position-vertical-relative:paragraph;z-index:10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13"/>
                    <w:gridCol w:w="986"/>
                    <w:gridCol w:w="1128"/>
                    <w:gridCol w:w="929"/>
                    <w:gridCol w:w="611"/>
                  </w:tblGrid>
                  <w:tr>
                    <w:trPr>
                      <w:trHeight w:val="264" w:hRule="atLeast"/>
                    </w:trPr>
                    <w:tc>
                      <w:tcPr>
                        <w:tcW w:w="5513" w:type="dxa"/>
                      </w:tcPr>
                      <w:p>
                        <w:pPr>
                          <w:pStyle w:val="TableParagraph"/>
                          <w:spacing w:line="243" w:lineRule="exact"/>
                          <w:ind w:left="50"/>
                          <w:jc w:val="left"/>
                          <w:rPr>
                            <w:sz w:val="22"/>
                          </w:rPr>
                        </w:pPr>
                        <w:r>
                          <w:rPr>
                            <w:sz w:val="22"/>
                          </w:rPr>
                          <w:t>efficiency improves and cell cost drops will slow down as</w:t>
                        </w:r>
                      </w:p>
                    </w:tc>
                    <w:tc>
                      <w:tcPr>
                        <w:tcW w:w="986" w:type="dxa"/>
                      </w:tcPr>
                      <w:p>
                        <w:pPr>
                          <w:pStyle w:val="TableParagraph"/>
                          <w:spacing w:line="199" w:lineRule="exact" w:before="46"/>
                          <w:ind w:left="394"/>
                          <w:jc w:val="left"/>
                          <w:rPr>
                            <w:sz w:val="20"/>
                          </w:rPr>
                        </w:pPr>
                        <w:r>
                          <w:rPr>
                            <w:sz w:val="20"/>
                          </w:rPr>
                          <w:t>Si</w:t>
                        </w:r>
                      </w:p>
                    </w:tc>
                    <w:tc>
                      <w:tcPr>
                        <w:tcW w:w="1128" w:type="dxa"/>
                      </w:tcPr>
                      <w:p>
                        <w:pPr>
                          <w:pStyle w:val="TableParagraph"/>
                          <w:spacing w:line="199" w:lineRule="exact" w:before="46"/>
                          <w:ind w:right="315"/>
                          <w:jc w:val="right"/>
                          <w:rPr>
                            <w:sz w:val="20"/>
                          </w:rPr>
                        </w:pPr>
                        <w:r>
                          <w:rPr>
                            <w:sz w:val="20"/>
                          </w:rPr>
                          <w:t>90%</w:t>
                        </w:r>
                      </w:p>
                    </w:tc>
                    <w:tc>
                      <w:tcPr>
                        <w:tcW w:w="929" w:type="dxa"/>
                      </w:tcPr>
                      <w:p>
                        <w:pPr>
                          <w:pStyle w:val="TableParagraph"/>
                          <w:spacing w:line="199" w:lineRule="exact" w:before="46"/>
                          <w:ind w:left="248" w:right="190"/>
                          <w:rPr>
                            <w:sz w:val="20"/>
                          </w:rPr>
                        </w:pPr>
                        <w:r>
                          <w:rPr>
                            <w:sz w:val="20"/>
                          </w:rPr>
                          <w:t>$4.62</w:t>
                        </w:r>
                      </w:p>
                    </w:tc>
                    <w:tc>
                      <w:tcPr>
                        <w:tcW w:w="611" w:type="dxa"/>
                      </w:tcPr>
                      <w:p>
                        <w:pPr>
                          <w:pStyle w:val="TableParagraph"/>
                          <w:spacing w:line="199" w:lineRule="exact" w:before="46"/>
                          <w:ind w:right="45"/>
                          <w:jc w:val="right"/>
                          <w:rPr>
                            <w:sz w:val="20"/>
                          </w:rPr>
                        </w:pPr>
                        <w:r>
                          <w:rPr>
                            <w:sz w:val="20"/>
                          </w:rPr>
                          <w:t>40.5</w:t>
                        </w:r>
                      </w:p>
                    </w:tc>
                  </w:tr>
                  <w:tr>
                    <w:trPr>
                      <w:trHeight w:val="241" w:hRule="atLeast"/>
                    </w:trPr>
                    <w:tc>
                      <w:tcPr>
                        <w:tcW w:w="5513" w:type="dxa"/>
                      </w:tcPr>
                      <w:p>
                        <w:pPr>
                          <w:pStyle w:val="TableParagraph"/>
                          <w:spacing w:line="221" w:lineRule="exact"/>
                          <w:ind w:left="50"/>
                          <w:jc w:val="left"/>
                          <w:rPr>
                            <w:sz w:val="22"/>
                          </w:rPr>
                        </w:pPr>
                        <w:r>
                          <w:rPr>
                            <w:sz w:val="22"/>
                          </w:rPr>
                          <w:t>the technology matures, and eventually level out.</w:t>
                        </w:r>
                      </w:p>
                    </w:tc>
                    <w:tc>
                      <w:tcPr>
                        <w:tcW w:w="986" w:type="dxa"/>
                      </w:tcPr>
                      <w:p>
                        <w:pPr>
                          <w:pStyle w:val="TableParagraph"/>
                          <w:spacing w:line="209" w:lineRule="exact" w:before="12"/>
                          <w:ind w:left="372"/>
                          <w:jc w:val="left"/>
                          <w:rPr>
                            <w:sz w:val="20"/>
                          </w:rPr>
                        </w:pPr>
                        <w:r>
                          <w:rPr>
                            <w:sz w:val="20"/>
                          </w:rPr>
                          <w:t>Pb</w:t>
                        </w:r>
                      </w:p>
                    </w:tc>
                    <w:tc>
                      <w:tcPr>
                        <w:tcW w:w="1128" w:type="dxa"/>
                      </w:tcPr>
                      <w:p>
                        <w:pPr>
                          <w:pStyle w:val="TableParagraph"/>
                          <w:spacing w:line="209" w:lineRule="exact" w:before="12"/>
                          <w:ind w:right="265"/>
                          <w:jc w:val="right"/>
                          <w:rPr>
                            <w:sz w:val="20"/>
                          </w:rPr>
                        </w:pPr>
                        <w:r>
                          <w:rPr>
                            <w:sz w:val="20"/>
                          </w:rPr>
                          <w:t>100%</w:t>
                        </w:r>
                      </w:p>
                    </w:tc>
                    <w:tc>
                      <w:tcPr>
                        <w:tcW w:w="929" w:type="dxa"/>
                      </w:tcPr>
                      <w:p>
                        <w:pPr>
                          <w:pStyle w:val="TableParagraph"/>
                          <w:spacing w:line="209" w:lineRule="exact" w:before="12"/>
                          <w:ind w:left="248" w:right="189"/>
                          <w:rPr>
                            <w:sz w:val="20"/>
                          </w:rPr>
                        </w:pPr>
                        <w:r>
                          <w:rPr>
                            <w:sz w:val="20"/>
                          </w:rPr>
                          <w:t>n/a</w:t>
                        </w:r>
                      </w:p>
                    </w:tc>
                    <w:tc>
                      <w:tcPr>
                        <w:tcW w:w="611" w:type="dxa"/>
                      </w:tcPr>
                      <w:p>
                        <w:pPr>
                          <w:pStyle w:val="TableParagraph"/>
                          <w:spacing w:line="209" w:lineRule="exact" w:before="12"/>
                          <w:ind w:left="337"/>
                          <w:jc w:val="left"/>
                          <w:rPr>
                            <w:sz w:val="20"/>
                          </w:rPr>
                        </w:pPr>
                        <w:r>
                          <w:rPr>
                            <w:w w:val="100"/>
                            <w:sz w:val="20"/>
                          </w:rPr>
                          <w:t>0</w:t>
                        </w:r>
                      </w:p>
                    </w:tc>
                  </w:tr>
                  <w:tr>
                    <w:trPr>
                      <w:trHeight w:val="242" w:hRule="atLeast"/>
                    </w:trPr>
                    <w:tc>
                      <w:tcPr>
                        <w:tcW w:w="5513" w:type="dxa"/>
                      </w:tcPr>
                      <w:p>
                        <w:pPr>
                          <w:pStyle w:val="TableParagraph"/>
                          <w:numPr>
                            <w:ilvl w:val="0"/>
                            <w:numId w:val="2"/>
                          </w:numPr>
                          <w:tabs>
                            <w:tab w:pos="543" w:val="left" w:leader="none"/>
                          </w:tabs>
                          <w:spacing w:line="222" w:lineRule="exact" w:before="0" w:after="0"/>
                          <w:ind w:left="542" w:right="0" w:hanging="132"/>
                          <w:jc w:val="left"/>
                          <w:rPr>
                            <w:sz w:val="22"/>
                          </w:rPr>
                        </w:pPr>
                        <w:r>
                          <w:rPr>
                            <w:i/>
                            <w:sz w:val="22"/>
                          </w:rPr>
                          <w:t>Reuse of raw materials from modules</w:t>
                        </w:r>
                        <w:r>
                          <w:rPr>
                            <w:sz w:val="22"/>
                          </w:rPr>
                          <w:t>: There</w:t>
                        </w:r>
                        <w:r>
                          <w:rPr>
                            <w:spacing w:val="-3"/>
                            <w:sz w:val="22"/>
                          </w:rPr>
                          <w:t> </w:t>
                        </w:r>
                        <w:r>
                          <w:rPr>
                            <w:sz w:val="22"/>
                          </w:rPr>
                          <w:t>are</w:t>
                        </w:r>
                      </w:p>
                    </w:tc>
                    <w:tc>
                      <w:tcPr>
                        <w:tcW w:w="986" w:type="dxa"/>
                      </w:tcPr>
                      <w:p>
                        <w:pPr>
                          <w:pStyle w:val="TableParagraph"/>
                          <w:spacing w:line="222" w:lineRule="exact"/>
                          <w:ind w:left="361"/>
                          <w:jc w:val="left"/>
                          <w:rPr>
                            <w:sz w:val="20"/>
                          </w:rPr>
                        </w:pPr>
                        <w:r>
                          <w:rPr>
                            <w:sz w:val="20"/>
                          </w:rPr>
                          <w:t>Cu</w:t>
                        </w:r>
                      </w:p>
                    </w:tc>
                    <w:tc>
                      <w:tcPr>
                        <w:tcW w:w="1128" w:type="dxa"/>
                      </w:tcPr>
                      <w:p>
                        <w:pPr>
                          <w:pStyle w:val="TableParagraph"/>
                          <w:spacing w:line="222" w:lineRule="exact"/>
                          <w:ind w:right="264"/>
                          <w:jc w:val="right"/>
                          <w:rPr>
                            <w:sz w:val="20"/>
                          </w:rPr>
                        </w:pPr>
                        <w:r>
                          <w:rPr>
                            <w:sz w:val="20"/>
                          </w:rPr>
                          <w:t>100%</w:t>
                        </w:r>
                      </w:p>
                    </w:tc>
                    <w:tc>
                      <w:tcPr>
                        <w:tcW w:w="929" w:type="dxa"/>
                      </w:tcPr>
                      <w:p>
                        <w:pPr>
                          <w:pStyle w:val="TableParagraph"/>
                          <w:spacing w:line="222" w:lineRule="exact"/>
                          <w:ind w:left="247" w:right="190"/>
                          <w:rPr>
                            <w:sz w:val="20"/>
                          </w:rPr>
                        </w:pPr>
                        <w:r>
                          <w:rPr>
                            <w:sz w:val="20"/>
                          </w:rPr>
                          <w:t>$0.58</w:t>
                        </w:r>
                      </w:p>
                    </w:tc>
                    <w:tc>
                      <w:tcPr>
                        <w:tcW w:w="611" w:type="dxa"/>
                      </w:tcPr>
                      <w:p>
                        <w:pPr>
                          <w:pStyle w:val="TableParagraph"/>
                          <w:spacing w:line="222" w:lineRule="exact"/>
                          <w:ind w:right="95"/>
                          <w:jc w:val="right"/>
                          <w:rPr>
                            <w:sz w:val="20"/>
                          </w:rPr>
                        </w:pPr>
                        <w:r>
                          <w:rPr>
                            <w:sz w:val="20"/>
                          </w:rPr>
                          <w:t>5.1</w:t>
                        </w:r>
                      </w:p>
                    </w:tc>
                  </w:tr>
                </w:tbl>
                <w:p>
                  <w:pPr>
                    <w:pStyle w:val="BodyText"/>
                    <w:ind w:left="0"/>
                  </w:pPr>
                </w:p>
              </w:txbxContent>
            </v:textbox>
            <w10:wrap type="none"/>
          </v:shape>
        </w:pict>
      </w:r>
      <w:r>
        <w:rPr>
          <w:sz w:val="20"/>
        </w:rPr>
        <w:t>Polymers</w:t>
        <w:tab/>
        <w:t>67%</w:t>
        <w:tab/>
        <w:t>n/a</w:t>
        <w:tab/>
        <w:t>0</w:t>
      </w:r>
    </w:p>
    <w:p>
      <w:pPr>
        <w:spacing w:after="0"/>
        <w:jc w:val="left"/>
        <w:rPr>
          <w:sz w:val="20"/>
        </w:rPr>
        <w:sectPr>
          <w:type w:val="continuous"/>
          <w:pgSz w:w="12240" w:h="15840"/>
          <w:pgMar w:top="1380" w:bottom="280" w:left="1280" w:right="1320"/>
          <w:cols w:num="2" w:equalWidth="0">
            <w:col w:w="5416" w:space="40"/>
            <w:col w:w="4184"/>
          </w:cols>
        </w:sectPr>
      </w:pPr>
    </w:p>
    <w:p>
      <w:pPr>
        <w:pStyle w:val="BodyText"/>
        <w:spacing w:before="702"/>
      </w:pPr>
      <w:r>
        <w:rPr/>
        <w:t>bulky, valuable and toxic materials in Si modules including</w:t>
      </w:r>
    </w:p>
    <w:p>
      <w:pPr>
        <w:tabs>
          <w:tab w:pos="537" w:val="left" w:leader="none"/>
          <w:tab w:pos="1561" w:val="left" w:leader="none"/>
          <w:tab w:pos="2565" w:val="left" w:leader="none"/>
          <w:tab w:pos="3438" w:val="left" w:leader="none"/>
          <w:tab w:pos="4089" w:val="left" w:leader="none"/>
        </w:tabs>
        <w:spacing w:before="689"/>
        <w:ind w:left="160" w:right="0" w:firstLine="0"/>
        <w:jc w:val="left"/>
        <w:rPr>
          <w:sz w:val="20"/>
        </w:rPr>
      </w:pPr>
      <w:r>
        <w:rPr/>
        <w:br w:type="column"/>
      </w:r>
      <w:r>
        <w:rPr>
          <w:w w:val="100"/>
          <w:sz w:val="20"/>
          <w:u w:val="single"/>
        </w:rPr>
        <w:t> </w:t>
      </w:r>
      <w:r>
        <w:rPr>
          <w:sz w:val="20"/>
          <w:u w:val="single"/>
        </w:rPr>
        <w:tab/>
        <w:t>Ag</w:t>
        <w:tab/>
        <w:t>100%</w:t>
        <w:tab/>
        <w:t>$3.17</w:t>
        <w:tab/>
        <w:t>27.8</w:t>
        <w:tab/>
      </w:r>
    </w:p>
    <w:p>
      <w:pPr>
        <w:spacing w:after="0"/>
        <w:jc w:val="left"/>
        <w:rPr>
          <w:sz w:val="20"/>
        </w:rPr>
        <w:sectPr>
          <w:type w:val="continuous"/>
          <w:pgSz w:w="12240" w:h="15840"/>
          <w:pgMar w:top="1380" w:bottom="280" w:left="1280" w:right="1320"/>
          <w:cols w:num="2" w:equalWidth="0">
            <w:col w:w="5400" w:space="41"/>
            <w:col w:w="4199"/>
          </w:cols>
        </w:sectPr>
      </w:pPr>
    </w:p>
    <w:p>
      <w:pPr>
        <w:pStyle w:val="BodyText"/>
      </w:pPr>
      <w:r>
        <w:rPr/>
        <w:t>solar-grade Si, Ag, Al, glass, Cu, as well as Sn and Pb, for ~$11/module as of 4/29/2019 (Table 2).</w:t>
      </w:r>
    </w:p>
    <w:p>
      <w:pPr>
        <w:spacing w:after="0"/>
        <w:sectPr>
          <w:type w:val="continuous"/>
          <w:pgSz w:w="12240" w:h="15840"/>
          <w:pgMar w:top="1380" w:bottom="280" w:left="1280" w:right="1320"/>
        </w:sectPr>
      </w:pPr>
    </w:p>
    <w:p>
      <w:pPr>
        <w:pStyle w:val="BodyText"/>
        <w:spacing w:before="78"/>
        <w:ind w:firstLine="360"/>
      </w:pPr>
      <w:r>
        <w:rPr>
          <w:b/>
        </w:rPr>
        <w:t>Experimental Results </w:t>
      </w:r>
      <w:r>
        <w:rPr/>
        <w:t>– Today’s recycling process for Si modules involves Cu and Al recovery, the first two blue boxes in Fig. 1. The remaining modules are shredded for glass. In our proposed process, a thermal step replaces module shredding, which can increase the recycling revenue from ~US$3/module up to ~US$30/module (Table 1). If the cells come in damaged or break during the thermal process, additional steps (the green boxes in Fig. 1) are needed to recover solar-grade Si, Ag, Cu, Sn and Pb for ~US$11/module. Therefore, the recycling process for material extraction is more complicated but generates less revenue than cell extraction. Our priority </w:t>
      </w:r>
      <w:r>
        <w:rPr>
          <w:spacing w:val="-6"/>
        </w:rPr>
        <w:t>is </w:t>
      </w:r>
      <w:r>
        <w:rPr/>
        <w:t>thus cell</w:t>
      </w:r>
      <w:r>
        <w:rPr>
          <w:spacing w:val="-1"/>
        </w:rPr>
        <w:t> </w:t>
      </w:r>
      <w:r>
        <w:rPr/>
        <w:t>extraction.</w:t>
      </w:r>
    </w:p>
    <w:p>
      <w:pPr>
        <w:pStyle w:val="BodyText"/>
        <w:ind w:left="159" w:right="100" w:firstLine="360"/>
      </w:pPr>
      <w:r>
        <w:rPr/>
        <w:t>We have developed a furnace for cell extraction. It has a proprietary chamber to prevent Cu or Fe contamination of the Si cells during the thermal process. It allows various process gases including dry or steamed air or O</w:t>
      </w:r>
      <w:r>
        <w:rPr>
          <w:vertAlign w:val="subscript"/>
        </w:rPr>
        <w:t>2</w:t>
      </w:r>
      <w:r>
        <w:rPr>
          <w:vertAlign w:val="baseline"/>
        </w:rPr>
        <w:t>. Fig. 2(a) is a photo of the furnace with a water vaporizer for steamed-air processing, and Fig. 2(b) is a half-cut mono PERC cell of 160 </w:t>
      </w:r>
      <w:r>
        <w:rPr>
          <w:rFonts w:ascii="Symbol" w:hAnsi="Symbol"/>
          <w:vertAlign w:val="baseline"/>
        </w:rPr>
        <w:t></w:t>
      </w:r>
      <w:r>
        <w:rPr>
          <w:vertAlign w:val="baseline"/>
        </w:rPr>
        <w:t>m thick extracted unbroken from a cutout module. Whole 156×156 mm</w:t>
      </w:r>
      <w:r>
        <w:rPr>
          <w:vertAlign w:val="superscript"/>
        </w:rPr>
        <w:t>2</w:t>
      </w:r>
      <w:r>
        <w:rPr>
          <w:vertAlign w:val="baseline"/>
        </w:rPr>
        <w:t> multi Al BSF cells have also been extracted unbroken. With</w:t>
      </w:r>
    </w:p>
    <w:p>
      <w:pPr>
        <w:pStyle w:val="BodyText"/>
        <w:spacing w:before="10"/>
        <w:ind w:left="0"/>
        <w:rPr>
          <w:sz w:val="11"/>
        </w:rPr>
      </w:pPr>
      <w:r>
        <w:rPr/>
        <w:br w:type="column"/>
      </w:r>
      <w:r>
        <w:rPr>
          <w:sz w:val="11"/>
        </w:rPr>
      </w:r>
    </w:p>
    <w:p>
      <w:pPr>
        <w:pStyle w:val="BodyText"/>
        <w:ind w:left="155"/>
        <w:rPr>
          <w:sz w:val="20"/>
        </w:rPr>
      </w:pPr>
      <w:r>
        <w:rPr>
          <w:sz w:val="20"/>
        </w:rPr>
        <w:drawing>
          <wp:inline distT="0" distB="0" distL="0" distR="0">
            <wp:extent cx="3416764" cy="188366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16764" cy="1883663"/>
                    </a:xfrm>
                    <a:prstGeom prst="rect">
                      <a:avLst/>
                    </a:prstGeom>
                  </pic:spPr>
                </pic:pic>
              </a:graphicData>
            </a:graphic>
          </wp:inline>
        </w:drawing>
      </w:r>
      <w:r>
        <w:rPr>
          <w:sz w:val="20"/>
        </w:rPr>
      </w:r>
    </w:p>
    <w:p>
      <w:pPr>
        <w:spacing w:before="52"/>
        <w:ind w:left="106" w:right="0" w:firstLine="0"/>
        <w:jc w:val="left"/>
        <w:rPr>
          <w:sz w:val="20"/>
        </w:rPr>
      </w:pPr>
      <w:r>
        <w:rPr>
          <w:b/>
          <w:sz w:val="20"/>
        </w:rPr>
        <w:t>Fig 1</w:t>
      </w:r>
      <w:r>
        <w:rPr>
          <w:sz w:val="20"/>
        </w:rPr>
        <w:t>. Our proposed recycling process for waste Si modules [3].</w:t>
      </w:r>
    </w:p>
    <w:p>
      <w:pPr>
        <w:pStyle w:val="BodyText"/>
        <w:spacing w:before="6"/>
        <w:ind w:left="0"/>
        <w:rPr>
          <w:sz w:val="10"/>
        </w:rPr>
      </w:pPr>
    </w:p>
    <w:p>
      <w:pPr>
        <w:pStyle w:val="BodyText"/>
        <w:ind w:left="190"/>
        <w:rPr>
          <w:sz w:val="20"/>
        </w:rPr>
      </w:pPr>
      <w:r>
        <w:rPr>
          <w:sz w:val="20"/>
        </w:rPr>
        <w:pict>
          <v:group style="width:263.8pt;height:132.4pt;mso-position-horizontal-relative:char;mso-position-vertical-relative:line" coordorigin="0,0" coordsize="5276,2648">
            <v:shape style="position:absolute;left:0;top:27;width:3218;height:2620" type="#_x0000_t75" stroked="false">
              <v:imagedata r:id="rId7" o:title=""/>
            </v:shape>
            <v:shape style="position:absolute;left:3267;top:0;width:2009;height:2646" type="#_x0000_t75" stroked="false">
              <v:imagedata r:id="rId8" o:title=""/>
            </v:shape>
          </v:group>
        </w:pict>
      </w:r>
      <w:r>
        <w:rPr>
          <w:sz w:val="20"/>
        </w:rPr>
      </w:r>
    </w:p>
    <w:p>
      <w:pPr>
        <w:spacing w:before="0"/>
        <w:ind w:left="200" w:right="881" w:firstLine="0"/>
        <w:jc w:val="left"/>
        <w:rPr>
          <w:sz w:val="20"/>
        </w:rPr>
      </w:pPr>
      <w:r>
        <w:rPr>
          <w:b/>
          <w:sz w:val="20"/>
        </w:rPr>
        <w:t>Fig 2</w:t>
      </w:r>
      <w:r>
        <w:rPr>
          <w:sz w:val="20"/>
        </w:rPr>
        <w:t>. (a) A special furnace for cell extraction and (b) an extracted half-cut PERC cell from a cutout module.</w:t>
      </w:r>
    </w:p>
    <w:p>
      <w:pPr>
        <w:spacing w:before="57"/>
        <w:ind w:left="219" w:right="0" w:firstLine="0"/>
        <w:jc w:val="left"/>
        <w:rPr>
          <w:sz w:val="20"/>
        </w:rPr>
      </w:pPr>
      <w:r>
        <w:rPr>
          <w:b/>
          <w:sz w:val="20"/>
        </w:rPr>
        <w:t>Table 3</w:t>
      </w:r>
      <w:r>
        <w:rPr>
          <w:sz w:val="20"/>
        </w:rPr>
        <w:t>. Ag recovery by new chemistry and by HNO</w:t>
      </w:r>
      <w:r>
        <w:rPr>
          <w:sz w:val="20"/>
          <w:vertAlign w:val="subscript"/>
        </w:rPr>
        <w:t>3</w:t>
      </w:r>
      <w:r>
        <w:rPr>
          <w:sz w:val="20"/>
          <w:vertAlign w:val="baseline"/>
        </w:rPr>
        <w:t>.</w:t>
      </w: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995"/>
        <w:gridCol w:w="1368"/>
        <w:gridCol w:w="1410"/>
      </w:tblGrid>
      <w:tr>
        <w:trPr>
          <w:trHeight w:val="230" w:hRule="atLeast"/>
        </w:trPr>
        <w:tc>
          <w:tcPr>
            <w:tcW w:w="1440" w:type="dxa"/>
          </w:tcPr>
          <w:p>
            <w:pPr>
              <w:pStyle w:val="TableParagraph"/>
              <w:ind w:left="90" w:right="81"/>
              <w:rPr>
                <w:sz w:val="20"/>
              </w:rPr>
            </w:pPr>
            <w:r>
              <w:rPr>
                <w:sz w:val="20"/>
              </w:rPr>
              <w:t>Chemistry</w:t>
            </w:r>
          </w:p>
        </w:tc>
        <w:tc>
          <w:tcPr>
            <w:tcW w:w="995" w:type="dxa"/>
          </w:tcPr>
          <w:p>
            <w:pPr>
              <w:pStyle w:val="TableParagraph"/>
              <w:ind w:left="110"/>
              <w:jc w:val="left"/>
              <w:rPr>
                <w:sz w:val="20"/>
              </w:rPr>
            </w:pPr>
            <w:r>
              <w:rPr>
                <w:sz w:val="20"/>
              </w:rPr>
              <w:t>Ag Initial</w:t>
            </w:r>
          </w:p>
        </w:tc>
        <w:tc>
          <w:tcPr>
            <w:tcW w:w="1368" w:type="dxa"/>
          </w:tcPr>
          <w:p>
            <w:pPr>
              <w:pStyle w:val="TableParagraph"/>
              <w:ind w:left="89" w:right="79"/>
              <w:rPr>
                <w:sz w:val="20"/>
              </w:rPr>
            </w:pPr>
            <w:r>
              <w:rPr>
                <w:sz w:val="20"/>
              </w:rPr>
              <w:t>Ag Recovered</w:t>
            </w:r>
          </w:p>
        </w:tc>
        <w:tc>
          <w:tcPr>
            <w:tcW w:w="1410" w:type="dxa"/>
          </w:tcPr>
          <w:p>
            <w:pPr>
              <w:pStyle w:val="TableParagraph"/>
              <w:ind w:left="93" w:right="83"/>
              <w:rPr>
                <w:sz w:val="20"/>
              </w:rPr>
            </w:pPr>
            <w:r>
              <w:rPr>
                <w:sz w:val="20"/>
              </w:rPr>
              <w:t>Recovery Rate</w:t>
            </w:r>
          </w:p>
        </w:tc>
      </w:tr>
      <w:tr>
        <w:trPr>
          <w:trHeight w:val="230" w:hRule="atLeast"/>
        </w:trPr>
        <w:tc>
          <w:tcPr>
            <w:tcW w:w="1440" w:type="dxa"/>
          </w:tcPr>
          <w:p>
            <w:pPr>
              <w:pStyle w:val="TableParagraph"/>
              <w:ind w:left="90" w:right="83"/>
              <w:rPr>
                <w:sz w:val="20"/>
              </w:rPr>
            </w:pPr>
            <w:r>
              <w:rPr>
                <w:sz w:val="20"/>
              </w:rPr>
              <w:t>New chemistry</w:t>
            </w:r>
          </w:p>
        </w:tc>
        <w:tc>
          <w:tcPr>
            <w:tcW w:w="995" w:type="dxa"/>
          </w:tcPr>
          <w:p>
            <w:pPr>
              <w:pStyle w:val="TableParagraph"/>
              <w:ind w:left="144"/>
              <w:jc w:val="left"/>
              <w:rPr>
                <w:sz w:val="20"/>
              </w:rPr>
            </w:pPr>
            <w:r>
              <w:rPr>
                <w:sz w:val="20"/>
              </w:rPr>
              <w:t>1.1440 g</w:t>
            </w:r>
          </w:p>
        </w:tc>
        <w:tc>
          <w:tcPr>
            <w:tcW w:w="1368" w:type="dxa"/>
          </w:tcPr>
          <w:p>
            <w:pPr>
              <w:pStyle w:val="TableParagraph"/>
              <w:ind w:left="86" w:right="79"/>
              <w:rPr>
                <w:sz w:val="20"/>
              </w:rPr>
            </w:pPr>
            <w:r>
              <w:rPr>
                <w:sz w:val="20"/>
              </w:rPr>
              <w:t>1.1067 g</w:t>
            </w:r>
          </w:p>
        </w:tc>
        <w:tc>
          <w:tcPr>
            <w:tcW w:w="1410" w:type="dxa"/>
          </w:tcPr>
          <w:p>
            <w:pPr>
              <w:pStyle w:val="TableParagraph"/>
              <w:ind w:left="93" w:right="83"/>
              <w:rPr>
                <w:sz w:val="20"/>
              </w:rPr>
            </w:pPr>
            <w:r>
              <w:rPr>
                <w:sz w:val="20"/>
              </w:rPr>
              <w:t>96.7%</w:t>
            </w:r>
          </w:p>
        </w:tc>
      </w:tr>
      <w:tr>
        <w:trPr>
          <w:trHeight w:val="230" w:hRule="atLeast"/>
        </w:trPr>
        <w:tc>
          <w:tcPr>
            <w:tcW w:w="1440" w:type="dxa"/>
          </w:tcPr>
          <w:p>
            <w:pPr>
              <w:pStyle w:val="TableParagraph"/>
              <w:ind w:left="90" w:right="81"/>
              <w:rPr>
                <w:sz w:val="20"/>
              </w:rPr>
            </w:pPr>
            <w:r>
              <w:rPr>
                <w:sz w:val="20"/>
              </w:rPr>
              <w:t>HNO</w:t>
            </w:r>
            <w:r>
              <w:rPr>
                <w:sz w:val="20"/>
                <w:vertAlign w:val="subscript"/>
              </w:rPr>
              <w:t>3</w:t>
            </w:r>
          </w:p>
        </w:tc>
        <w:tc>
          <w:tcPr>
            <w:tcW w:w="995" w:type="dxa"/>
          </w:tcPr>
          <w:p>
            <w:pPr>
              <w:pStyle w:val="TableParagraph"/>
              <w:ind w:left="146"/>
              <w:jc w:val="left"/>
              <w:rPr>
                <w:sz w:val="20"/>
              </w:rPr>
            </w:pPr>
            <w:r>
              <w:rPr>
                <w:sz w:val="20"/>
              </w:rPr>
              <w:t>4.0323 g</w:t>
            </w:r>
          </w:p>
        </w:tc>
        <w:tc>
          <w:tcPr>
            <w:tcW w:w="1368" w:type="dxa"/>
          </w:tcPr>
          <w:p>
            <w:pPr>
              <w:pStyle w:val="TableParagraph"/>
              <w:ind w:left="87" w:right="79"/>
              <w:rPr>
                <w:sz w:val="20"/>
              </w:rPr>
            </w:pPr>
            <w:r>
              <w:rPr>
                <w:sz w:val="20"/>
              </w:rPr>
              <w:t>2.7812 g</w:t>
            </w:r>
          </w:p>
        </w:tc>
        <w:tc>
          <w:tcPr>
            <w:tcW w:w="1410" w:type="dxa"/>
          </w:tcPr>
          <w:p>
            <w:pPr>
              <w:pStyle w:val="TableParagraph"/>
              <w:ind w:left="93" w:right="83"/>
              <w:rPr>
                <w:sz w:val="20"/>
              </w:rPr>
            </w:pPr>
            <w:r>
              <w:rPr>
                <w:sz w:val="20"/>
              </w:rPr>
              <w:t>69.0%</w:t>
            </w:r>
          </w:p>
        </w:tc>
      </w:tr>
    </w:tbl>
    <w:p>
      <w:pPr>
        <w:spacing w:after="0"/>
        <w:rPr>
          <w:sz w:val="20"/>
        </w:rPr>
        <w:sectPr>
          <w:pgSz w:w="12240" w:h="15840"/>
          <w:pgMar w:top="1360" w:bottom="280" w:left="1280" w:right="1320"/>
          <w:cols w:num="2" w:equalWidth="0">
            <w:col w:w="3967" w:space="40"/>
            <w:col w:w="5633"/>
          </w:cols>
        </w:sectPr>
      </w:pPr>
    </w:p>
    <w:p>
      <w:pPr>
        <w:pStyle w:val="BodyText"/>
        <w:ind w:left="159"/>
      </w:pPr>
      <w:r>
        <w:rPr/>
        <w:t>the cells and polymer sheets cleanly removed, the glass can be recycled as high-value solar glass.</w:t>
      </w:r>
    </w:p>
    <w:p>
      <w:pPr>
        <w:pStyle w:val="BodyText"/>
        <w:ind w:left="159" w:right="117" w:firstLine="360"/>
      </w:pPr>
      <w:r>
        <w:rPr/>
        <w:t>For material extraction, several reports describe a process based on HF, HNO</w:t>
      </w:r>
      <w:r>
        <w:rPr>
          <w:vertAlign w:val="subscript"/>
        </w:rPr>
        <w:t>3</w:t>
      </w:r>
      <w:r>
        <w:rPr>
          <w:vertAlign w:val="baseline"/>
        </w:rPr>
        <w:t> and NaOH to remove unwanted layers in Si cells for recovery of valuable and toxic materials [3,4]. The best Ag recovery rate to date is ~75% [3]. This is because they use HNO</w:t>
      </w:r>
      <w:r>
        <w:rPr>
          <w:vertAlign w:val="subscript"/>
        </w:rPr>
        <w:t>3</w:t>
      </w:r>
      <w:r>
        <w:rPr>
          <w:vertAlign w:val="baseline"/>
        </w:rPr>
        <w:t> to leach Ag, but electrowon Ag redissolves in HNO</w:t>
      </w:r>
      <w:r>
        <w:rPr>
          <w:vertAlign w:val="subscript"/>
        </w:rPr>
        <w:t>3</w:t>
      </w:r>
      <w:r>
        <w:rPr>
          <w:vertAlign w:val="baseline"/>
        </w:rPr>
        <w:t> [3]. We have developed a new chemistry that takes fewer steps than the reported process. The new chemistry offers a far better Ag recovery rate, ~97% now (Table 3) but expected to exceed 99%. The recovery rate of solar-grade Si is 90%, as the emitter and BSF are not solar-grade Si [3]. We are now developing a Si cell recycling system based on the new chemistry, which will be launched in a few</w:t>
      </w:r>
      <w:r>
        <w:rPr>
          <w:spacing w:val="-10"/>
          <w:vertAlign w:val="baseline"/>
        </w:rPr>
        <w:t> </w:t>
      </w:r>
      <w:r>
        <w:rPr>
          <w:vertAlign w:val="baseline"/>
        </w:rPr>
        <w:t>months.</w:t>
      </w:r>
    </w:p>
    <w:p>
      <w:pPr>
        <w:pStyle w:val="BodyText"/>
        <w:spacing w:before="121"/>
        <w:ind w:right="241"/>
      </w:pPr>
      <w:r>
        <w:rPr>
          <w:b/>
        </w:rPr>
        <w:t>Conclusions </w:t>
      </w:r>
      <w:r>
        <w:rPr/>
        <w:t>– Significantly more revenues can be generated from waste Si modules if the Si cells are recovered instead of shredded. The potential revenue is estimated between US$11–30/module. Several technologies have been demonstrated to enable cell extraction from modules including a thermal process to separate thin Si cells from the glass unbroken and a new chemistry that recover 97% of the Ag and requires fewer steps than today’s process. These technologies could lead to a new industry worth ~$100 billion cumulative by 2050, but the cost of the new recycling process requires a prototype line to assess.</w:t>
      </w:r>
    </w:p>
    <w:p>
      <w:pPr>
        <w:spacing w:before="120"/>
        <w:ind w:left="160" w:right="0" w:firstLine="0"/>
        <w:jc w:val="left"/>
        <w:rPr>
          <w:sz w:val="22"/>
        </w:rPr>
      </w:pPr>
      <w:r>
        <w:rPr>
          <w:b/>
          <w:sz w:val="22"/>
        </w:rPr>
        <w:t>Acknowledgements </w:t>
      </w:r>
      <w:r>
        <w:rPr>
          <w:sz w:val="22"/>
        </w:rPr>
        <w:t>– This work is supported by US NSF grant no. 1831148 and 1904544.</w:t>
      </w:r>
    </w:p>
    <w:p>
      <w:pPr>
        <w:pStyle w:val="ListParagraph"/>
        <w:numPr>
          <w:ilvl w:val="0"/>
          <w:numId w:val="3"/>
        </w:numPr>
        <w:tabs>
          <w:tab w:pos="341" w:val="left" w:leader="none"/>
        </w:tabs>
        <w:spacing w:line="240" w:lineRule="auto" w:before="115" w:after="0"/>
        <w:ind w:left="340" w:right="0" w:hanging="180"/>
        <w:jc w:val="left"/>
        <w:rPr>
          <w:sz w:val="18"/>
        </w:rPr>
      </w:pPr>
      <w:r>
        <w:rPr>
          <w:sz w:val="18"/>
        </w:rPr>
        <w:t>International Renewable Energy Agency. 2016, End-of-Life Management: Solar Photovoltaic</w:t>
      </w:r>
      <w:r>
        <w:rPr>
          <w:spacing w:val="-6"/>
          <w:sz w:val="18"/>
        </w:rPr>
        <w:t> </w:t>
      </w:r>
      <w:r>
        <w:rPr>
          <w:sz w:val="18"/>
        </w:rPr>
        <w:t>Panels.</w:t>
      </w:r>
    </w:p>
    <w:p>
      <w:pPr>
        <w:pStyle w:val="ListParagraph"/>
        <w:numPr>
          <w:ilvl w:val="0"/>
          <w:numId w:val="3"/>
        </w:numPr>
        <w:tabs>
          <w:tab w:pos="341" w:val="left" w:leader="none"/>
        </w:tabs>
        <w:spacing w:line="207" w:lineRule="exact" w:before="1" w:after="0"/>
        <w:ind w:left="340" w:right="0" w:hanging="180"/>
        <w:jc w:val="left"/>
        <w:rPr>
          <w:sz w:val="18"/>
        </w:rPr>
      </w:pPr>
      <w:r>
        <w:rPr>
          <w:sz w:val="18"/>
        </w:rPr>
        <w:t>Tao M, Huang W H, Schichtel J. 2017, 33rd EUPVSEC (Amsterdam) p.</w:t>
      </w:r>
      <w:r>
        <w:rPr>
          <w:spacing w:val="-3"/>
          <w:sz w:val="18"/>
        </w:rPr>
        <w:t> </w:t>
      </w:r>
      <w:r>
        <w:rPr>
          <w:sz w:val="18"/>
        </w:rPr>
        <w:t>1878.</w:t>
      </w:r>
    </w:p>
    <w:p>
      <w:pPr>
        <w:pStyle w:val="ListParagraph"/>
        <w:numPr>
          <w:ilvl w:val="0"/>
          <w:numId w:val="3"/>
        </w:numPr>
        <w:tabs>
          <w:tab w:pos="341" w:val="left" w:leader="none"/>
        </w:tabs>
        <w:spacing w:line="207" w:lineRule="exact" w:before="0" w:after="0"/>
        <w:ind w:left="340" w:right="0" w:hanging="180"/>
        <w:jc w:val="left"/>
        <w:rPr>
          <w:sz w:val="18"/>
        </w:rPr>
      </w:pPr>
      <w:r>
        <w:rPr>
          <w:sz w:val="18"/>
        </w:rPr>
        <w:t>Huang W H, Tao M. 2017, Solar Energy, 144,</w:t>
      </w:r>
      <w:r>
        <w:rPr>
          <w:spacing w:val="-4"/>
          <w:sz w:val="18"/>
        </w:rPr>
        <w:t> </w:t>
      </w:r>
      <w:r>
        <w:rPr>
          <w:sz w:val="18"/>
        </w:rPr>
        <w:t>22.</w:t>
      </w:r>
    </w:p>
    <w:p>
      <w:pPr>
        <w:pStyle w:val="ListParagraph"/>
        <w:numPr>
          <w:ilvl w:val="0"/>
          <w:numId w:val="3"/>
        </w:numPr>
        <w:tabs>
          <w:tab w:pos="342" w:val="left" w:leader="none"/>
        </w:tabs>
        <w:spacing w:line="240" w:lineRule="auto" w:before="1" w:after="0"/>
        <w:ind w:left="341" w:right="0" w:hanging="181"/>
        <w:jc w:val="left"/>
        <w:rPr>
          <w:sz w:val="18"/>
        </w:rPr>
      </w:pPr>
      <w:r>
        <w:rPr>
          <w:sz w:val="18"/>
        </w:rPr>
        <w:t>Frisson L, Lieten K, Bruton T, Declercq K, Szlufcik J, Goris M, Benali A, Aceves O. 2000, 16th EUPVSEC</w:t>
      </w:r>
      <w:r>
        <w:rPr>
          <w:spacing w:val="-22"/>
          <w:sz w:val="18"/>
        </w:rPr>
        <w:t> </w:t>
      </w:r>
      <w:r>
        <w:rPr>
          <w:sz w:val="18"/>
        </w:rPr>
        <w:t>(Glasgow).</w:t>
      </w:r>
    </w:p>
    <w:sectPr>
      <w:type w:val="continuous"/>
      <w:pgSz w:w="12240" w:h="15840"/>
      <w:pgMar w:top="1380" w:bottom="28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40" w:hanging="181"/>
        <w:jc w:val="left"/>
      </w:pPr>
      <w:rPr>
        <w:rFonts w:hint="default" w:ascii="Times New Roman" w:hAnsi="Times New Roman" w:eastAsia="Times New Roman" w:cs="Times New Roman"/>
        <w:spacing w:val="-2"/>
        <w:w w:val="100"/>
        <w:sz w:val="18"/>
        <w:szCs w:val="18"/>
      </w:rPr>
    </w:lvl>
    <w:lvl w:ilvl="1">
      <w:start w:val="0"/>
      <w:numFmt w:val="bullet"/>
      <w:lvlText w:val="•"/>
      <w:lvlJc w:val="left"/>
      <w:pPr>
        <w:ind w:left="1270" w:hanging="181"/>
      </w:pPr>
      <w:rPr>
        <w:rFonts w:hint="default"/>
      </w:rPr>
    </w:lvl>
    <w:lvl w:ilvl="2">
      <w:start w:val="0"/>
      <w:numFmt w:val="bullet"/>
      <w:lvlText w:val="•"/>
      <w:lvlJc w:val="left"/>
      <w:pPr>
        <w:ind w:left="2200" w:hanging="181"/>
      </w:pPr>
      <w:rPr>
        <w:rFonts w:hint="default"/>
      </w:rPr>
    </w:lvl>
    <w:lvl w:ilvl="3">
      <w:start w:val="0"/>
      <w:numFmt w:val="bullet"/>
      <w:lvlText w:val="•"/>
      <w:lvlJc w:val="left"/>
      <w:pPr>
        <w:ind w:left="3130" w:hanging="181"/>
      </w:pPr>
      <w:rPr>
        <w:rFonts w:hint="default"/>
      </w:rPr>
    </w:lvl>
    <w:lvl w:ilvl="4">
      <w:start w:val="0"/>
      <w:numFmt w:val="bullet"/>
      <w:lvlText w:val="•"/>
      <w:lvlJc w:val="left"/>
      <w:pPr>
        <w:ind w:left="4060" w:hanging="181"/>
      </w:pPr>
      <w:rPr>
        <w:rFonts w:hint="default"/>
      </w:rPr>
    </w:lvl>
    <w:lvl w:ilvl="5">
      <w:start w:val="0"/>
      <w:numFmt w:val="bullet"/>
      <w:lvlText w:val="•"/>
      <w:lvlJc w:val="left"/>
      <w:pPr>
        <w:ind w:left="4990" w:hanging="181"/>
      </w:pPr>
      <w:rPr>
        <w:rFonts w:hint="default"/>
      </w:rPr>
    </w:lvl>
    <w:lvl w:ilvl="6">
      <w:start w:val="0"/>
      <w:numFmt w:val="bullet"/>
      <w:lvlText w:val="•"/>
      <w:lvlJc w:val="left"/>
      <w:pPr>
        <w:ind w:left="5920" w:hanging="181"/>
      </w:pPr>
      <w:rPr>
        <w:rFonts w:hint="default"/>
      </w:rPr>
    </w:lvl>
    <w:lvl w:ilvl="7">
      <w:start w:val="0"/>
      <w:numFmt w:val="bullet"/>
      <w:lvlText w:val="•"/>
      <w:lvlJc w:val="left"/>
      <w:pPr>
        <w:ind w:left="6850" w:hanging="181"/>
      </w:pPr>
      <w:rPr>
        <w:rFonts w:hint="default"/>
      </w:rPr>
    </w:lvl>
    <w:lvl w:ilvl="8">
      <w:start w:val="0"/>
      <w:numFmt w:val="bullet"/>
      <w:lvlText w:val="•"/>
      <w:lvlJc w:val="left"/>
      <w:pPr>
        <w:ind w:left="7780" w:hanging="181"/>
      </w:pPr>
      <w:rPr>
        <w:rFonts w:hint="default"/>
      </w:rPr>
    </w:lvl>
  </w:abstractNum>
  <w:abstractNum w:abstractNumId="1">
    <w:multiLevelType w:val="hybridMultilevel"/>
    <w:lvl w:ilvl="0">
      <w:start w:val="0"/>
      <w:numFmt w:val="bullet"/>
      <w:lvlText w:val="•"/>
      <w:lvlJc w:val="left"/>
      <w:pPr>
        <w:ind w:left="542" w:hanging="133"/>
      </w:pPr>
      <w:rPr>
        <w:rFonts w:hint="default" w:ascii="Times New Roman" w:hAnsi="Times New Roman" w:eastAsia="Times New Roman" w:cs="Times New Roman"/>
        <w:i/>
        <w:w w:val="99"/>
        <w:sz w:val="22"/>
        <w:szCs w:val="22"/>
      </w:rPr>
    </w:lvl>
    <w:lvl w:ilvl="1">
      <w:start w:val="0"/>
      <w:numFmt w:val="bullet"/>
      <w:lvlText w:val="•"/>
      <w:lvlJc w:val="left"/>
      <w:pPr>
        <w:ind w:left="1037" w:hanging="133"/>
      </w:pPr>
      <w:rPr>
        <w:rFonts w:hint="default"/>
      </w:rPr>
    </w:lvl>
    <w:lvl w:ilvl="2">
      <w:start w:val="0"/>
      <w:numFmt w:val="bullet"/>
      <w:lvlText w:val="•"/>
      <w:lvlJc w:val="left"/>
      <w:pPr>
        <w:ind w:left="1534" w:hanging="133"/>
      </w:pPr>
      <w:rPr>
        <w:rFonts w:hint="default"/>
      </w:rPr>
    </w:lvl>
    <w:lvl w:ilvl="3">
      <w:start w:val="0"/>
      <w:numFmt w:val="bullet"/>
      <w:lvlText w:val="•"/>
      <w:lvlJc w:val="left"/>
      <w:pPr>
        <w:ind w:left="2031" w:hanging="133"/>
      </w:pPr>
      <w:rPr>
        <w:rFonts w:hint="default"/>
      </w:rPr>
    </w:lvl>
    <w:lvl w:ilvl="4">
      <w:start w:val="0"/>
      <w:numFmt w:val="bullet"/>
      <w:lvlText w:val="•"/>
      <w:lvlJc w:val="left"/>
      <w:pPr>
        <w:ind w:left="2529" w:hanging="133"/>
      </w:pPr>
      <w:rPr>
        <w:rFonts w:hint="default"/>
      </w:rPr>
    </w:lvl>
    <w:lvl w:ilvl="5">
      <w:start w:val="0"/>
      <w:numFmt w:val="bullet"/>
      <w:lvlText w:val="•"/>
      <w:lvlJc w:val="left"/>
      <w:pPr>
        <w:ind w:left="3026" w:hanging="133"/>
      </w:pPr>
      <w:rPr>
        <w:rFonts w:hint="default"/>
      </w:rPr>
    </w:lvl>
    <w:lvl w:ilvl="6">
      <w:start w:val="0"/>
      <w:numFmt w:val="bullet"/>
      <w:lvlText w:val="•"/>
      <w:lvlJc w:val="left"/>
      <w:pPr>
        <w:ind w:left="3523" w:hanging="133"/>
      </w:pPr>
      <w:rPr>
        <w:rFonts w:hint="default"/>
      </w:rPr>
    </w:lvl>
    <w:lvl w:ilvl="7">
      <w:start w:val="0"/>
      <w:numFmt w:val="bullet"/>
      <w:lvlText w:val="•"/>
      <w:lvlJc w:val="left"/>
      <w:pPr>
        <w:ind w:left="4021" w:hanging="133"/>
      </w:pPr>
      <w:rPr>
        <w:rFonts w:hint="default"/>
      </w:rPr>
    </w:lvl>
    <w:lvl w:ilvl="8">
      <w:start w:val="0"/>
      <w:numFmt w:val="bullet"/>
      <w:lvlText w:val="•"/>
      <w:lvlJc w:val="left"/>
      <w:pPr>
        <w:ind w:left="4518" w:hanging="133"/>
      </w:pPr>
      <w:rPr>
        <w:rFonts w:hint="default"/>
      </w:rPr>
    </w:lvl>
  </w:abstractNum>
  <w:abstractNum w:abstractNumId="0">
    <w:multiLevelType w:val="hybridMultilevel"/>
    <w:lvl w:ilvl="0">
      <w:start w:val="0"/>
      <w:numFmt w:val="bullet"/>
      <w:lvlText w:val="•"/>
      <w:lvlJc w:val="left"/>
      <w:pPr>
        <w:ind w:left="160" w:hanging="133"/>
      </w:pPr>
      <w:rPr>
        <w:rFonts w:hint="default" w:ascii="Times New Roman" w:hAnsi="Times New Roman" w:eastAsia="Times New Roman" w:cs="Times New Roman"/>
        <w:i/>
        <w:w w:val="99"/>
        <w:sz w:val="22"/>
        <w:szCs w:val="22"/>
      </w:rPr>
    </w:lvl>
    <w:lvl w:ilvl="1">
      <w:start w:val="0"/>
      <w:numFmt w:val="bullet"/>
      <w:lvlText w:val="•"/>
      <w:lvlJc w:val="left"/>
      <w:pPr>
        <w:ind w:left="685" w:hanging="133"/>
      </w:pPr>
      <w:rPr>
        <w:rFonts w:hint="default"/>
      </w:rPr>
    </w:lvl>
    <w:lvl w:ilvl="2">
      <w:start w:val="0"/>
      <w:numFmt w:val="bullet"/>
      <w:lvlText w:val="•"/>
      <w:lvlJc w:val="left"/>
      <w:pPr>
        <w:ind w:left="1211" w:hanging="133"/>
      </w:pPr>
      <w:rPr>
        <w:rFonts w:hint="default"/>
      </w:rPr>
    </w:lvl>
    <w:lvl w:ilvl="3">
      <w:start w:val="0"/>
      <w:numFmt w:val="bullet"/>
      <w:lvlText w:val="•"/>
      <w:lvlJc w:val="left"/>
      <w:pPr>
        <w:ind w:left="1736" w:hanging="133"/>
      </w:pPr>
      <w:rPr>
        <w:rFonts w:hint="default"/>
      </w:rPr>
    </w:lvl>
    <w:lvl w:ilvl="4">
      <w:start w:val="0"/>
      <w:numFmt w:val="bullet"/>
      <w:lvlText w:val="•"/>
      <w:lvlJc w:val="left"/>
      <w:pPr>
        <w:ind w:left="2262" w:hanging="133"/>
      </w:pPr>
      <w:rPr>
        <w:rFonts w:hint="default"/>
      </w:rPr>
    </w:lvl>
    <w:lvl w:ilvl="5">
      <w:start w:val="0"/>
      <w:numFmt w:val="bullet"/>
      <w:lvlText w:val="•"/>
      <w:lvlJc w:val="left"/>
      <w:pPr>
        <w:ind w:left="2787" w:hanging="133"/>
      </w:pPr>
      <w:rPr>
        <w:rFonts w:hint="default"/>
      </w:rPr>
    </w:lvl>
    <w:lvl w:ilvl="6">
      <w:start w:val="0"/>
      <w:numFmt w:val="bullet"/>
      <w:lvlText w:val="•"/>
      <w:lvlJc w:val="left"/>
      <w:pPr>
        <w:ind w:left="3313" w:hanging="133"/>
      </w:pPr>
      <w:rPr>
        <w:rFonts w:hint="default"/>
      </w:rPr>
    </w:lvl>
    <w:lvl w:ilvl="7">
      <w:start w:val="0"/>
      <w:numFmt w:val="bullet"/>
      <w:lvlText w:val="•"/>
      <w:lvlJc w:val="left"/>
      <w:pPr>
        <w:ind w:left="3839" w:hanging="133"/>
      </w:pPr>
      <w:rPr>
        <w:rFonts w:hint="default"/>
      </w:rPr>
    </w:lvl>
    <w:lvl w:ilvl="8">
      <w:start w:val="0"/>
      <w:numFmt w:val="bullet"/>
      <w:lvlText w:val="•"/>
      <w:lvlJc w:val="left"/>
      <w:pPr>
        <w:ind w:left="4364" w:hanging="133"/>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60"/>
    </w:pPr>
    <w:rPr>
      <w:rFonts w:ascii="Times New Roman" w:hAnsi="Times New Roman" w:eastAsia="Times New Roman" w:cs="Times New Roman"/>
      <w:sz w:val="22"/>
      <w:szCs w:val="22"/>
    </w:rPr>
  </w:style>
  <w:style w:styleId="ListParagraph" w:type="paragraph">
    <w:name w:val="List Paragraph"/>
    <w:basedOn w:val="Normal"/>
    <w:uiPriority w:val="1"/>
    <w:qFormat/>
    <w:pPr>
      <w:ind w:left="340" w:hanging="180"/>
    </w:pPr>
    <w:rPr>
      <w:rFonts w:ascii="Times New Roman" w:hAnsi="Times New Roman" w:eastAsia="Times New Roman" w:cs="Times New Roman"/>
    </w:rPr>
  </w:style>
  <w:style w:styleId="TableParagraph" w:type="paragraph">
    <w:name w:val="Table Paragraph"/>
    <w:basedOn w:val="Normal"/>
    <w:uiPriority w:val="1"/>
    <w:qFormat/>
    <w:pPr>
      <w:spacing w:line="210"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obytao@tg-companies.com"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mtao2</dc:creator>
  <dc:title>Microsoft Word - PVSEC 29</dc:title>
  <dcterms:created xsi:type="dcterms:W3CDTF">2020-01-09T00:31:48Z</dcterms:created>
  <dcterms:modified xsi:type="dcterms:W3CDTF">2020-01-09T00:31:48Z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PScript5.dll Version 5.2.2</vt:lpwstr>
  </property>
  <property fmtid="{D5CDD505-2E9C-101B-9397-08002B2CF9AE}" pid="4" name="LastSaved">
    <vt:filetime>2020-01-09T00:00:00Z</vt:filetime>
  </property>
</Properties>
</file>