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F5C" w:rsidRPr="00CD130B" w:rsidRDefault="005F2F5C" w:rsidP="00780774">
      <w:pPr>
        <w:rPr>
          <w:rFonts w:ascii="Arial" w:hAnsi="Arial" w:cs="Arial"/>
        </w:rPr>
      </w:pPr>
      <w:r w:rsidRPr="00CD130B">
        <w:rPr>
          <w:rFonts w:ascii="Arial" w:hAnsi="Arial" w:cs="Arial"/>
        </w:rPr>
        <w:t>English:</w:t>
      </w:r>
    </w:p>
    <w:p w:rsidR="00CD130B" w:rsidRPr="00CD130B" w:rsidRDefault="00CD130B" w:rsidP="00780774">
      <w:pPr>
        <w:rPr>
          <w:rFonts w:ascii="Arial" w:hAnsi="Arial" w:cs="Arial"/>
        </w:rPr>
      </w:pPr>
    </w:p>
    <w:p w:rsidR="00CD130B" w:rsidRPr="00E415C7" w:rsidRDefault="00CD130B" w:rsidP="005F2F5C">
      <w:pPr>
        <w:rPr>
          <w:rFonts w:ascii="Arial" w:hAnsi="Arial" w:cs="Arial"/>
          <w:b/>
        </w:rPr>
      </w:pPr>
      <w:r w:rsidRPr="00E415C7">
        <w:rPr>
          <w:rFonts w:ascii="Arial" w:hAnsi="Arial" w:cs="Arial"/>
          <w:b/>
        </w:rPr>
        <w:t>Title of Presentation</w:t>
      </w:r>
      <w:r w:rsidRPr="00E415C7">
        <w:rPr>
          <w:rFonts w:ascii="Arial" w:hAnsi="Arial" w:cs="Arial"/>
          <w:b/>
        </w:rPr>
        <w:t>：</w:t>
      </w:r>
    </w:p>
    <w:p w:rsidR="00CD130B" w:rsidRPr="00CD130B" w:rsidRDefault="00780774" w:rsidP="00780774">
      <w:pPr>
        <w:rPr>
          <w:rFonts w:ascii="Arial" w:hAnsi="Arial" w:cs="Arial"/>
        </w:rPr>
      </w:pPr>
      <w:r w:rsidRPr="00CD130B">
        <w:rPr>
          <w:rFonts w:ascii="Arial" w:hAnsi="Arial" w:cs="Arial"/>
        </w:rPr>
        <w:t>P+F Multilink IIoT Concept</w:t>
      </w:r>
    </w:p>
    <w:p w:rsidR="00780774" w:rsidRDefault="00CD130B" w:rsidP="00780774">
      <w:pPr>
        <w:rPr>
          <w:rFonts w:ascii="Arial" w:hAnsi="Arial" w:cs="Arial"/>
        </w:rPr>
      </w:pPr>
      <w:r w:rsidRPr="00CD130B">
        <w:rPr>
          <w:rFonts w:ascii="Arial" w:hAnsi="Arial" w:cs="Arial"/>
        </w:rPr>
        <w:t xml:space="preserve">     -</w:t>
      </w:r>
      <w:r w:rsidR="00780774" w:rsidRPr="00CD130B">
        <w:rPr>
          <w:rFonts w:ascii="Arial" w:hAnsi="Arial" w:cs="Arial"/>
        </w:rPr>
        <w:t>- IT/OT Fusion create multiple data value chain and infinite possibilities align with Smart Manufacture  </w:t>
      </w:r>
    </w:p>
    <w:p w:rsidR="00CD130B" w:rsidRPr="00CD130B" w:rsidRDefault="00CD130B" w:rsidP="00780774">
      <w:pPr>
        <w:rPr>
          <w:rFonts w:ascii="Arial" w:hAnsi="Arial" w:cs="Arial"/>
        </w:rPr>
      </w:pPr>
    </w:p>
    <w:p w:rsidR="00CD130B" w:rsidRPr="00E415C7" w:rsidRDefault="00CD130B" w:rsidP="00780774">
      <w:pPr>
        <w:rPr>
          <w:rFonts w:ascii="Arial" w:hAnsi="Arial" w:cs="Arial"/>
          <w:b/>
        </w:rPr>
      </w:pPr>
      <w:r w:rsidRPr="00E415C7">
        <w:rPr>
          <w:rFonts w:ascii="Arial" w:hAnsi="Arial" w:cs="Arial"/>
          <w:b/>
          <w:color w:val="333333"/>
          <w:sz w:val="23"/>
          <w:szCs w:val="23"/>
        </w:rPr>
        <w:t>A</w:t>
      </w:r>
      <w:r w:rsidRPr="00E415C7">
        <w:rPr>
          <w:rFonts w:ascii="Arial" w:hAnsi="Arial" w:cs="Arial"/>
          <w:b/>
          <w:color w:val="333333"/>
          <w:sz w:val="23"/>
          <w:szCs w:val="23"/>
        </w:rPr>
        <w:t>bstract</w:t>
      </w:r>
      <w:r w:rsidRPr="00E415C7">
        <w:rPr>
          <w:rFonts w:ascii="Arial" w:hAnsi="Arial" w:cs="Arial"/>
          <w:b/>
          <w:color w:val="333333"/>
          <w:sz w:val="23"/>
          <w:szCs w:val="23"/>
        </w:rPr>
        <w:t>:</w:t>
      </w:r>
    </w:p>
    <w:p w:rsidR="00457F90" w:rsidRDefault="00CD130B" w:rsidP="00CD130B">
      <w:pPr>
        <w:rPr>
          <w:rFonts w:ascii="Arial" w:hAnsi="Arial" w:cs="Arial"/>
        </w:rPr>
      </w:pPr>
      <w:r>
        <w:rPr>
          <w:rFonts w:ascii="Arial" w:hAnsi="Arial" w:cs="Arial"/>
        </w:rPr>
        <w:t xml:space="preserve">       </w:t>
      </w:r>
      <w:r w:rsidR="003350D7" w:rsidRPr="00CD130B">
        <w:rPr>
          <w:rFonts w:ascii="Arial" w:hAnsi="Arial" w:cs="Arial"/>
        </w:rPr>
        <w:t>The P+F Comtrol IO-Link Masters provide simultaneous access to the PLC via Industrial Ethernet and connect SCADA system or enterprise cloud</w:t>
      </w:r>
      <w:r w:rsidR="00F63E8B" w:rsidRPr="00CD130B">
        <w:rPr>
          <w:rFonts w:ascii="Arial" w:hAnsi="Arial" w:cs="Arial"/>
        </w:rPr>
        <w:t xml:space="preserve"> solution</w:t>
      </w:r>
      <w:r w:rsidR="003350D7" w:rsidRPr="00CD130B">
        <w:rPr>
          <w:rFonts w:ascii="Arial" w:hAnsi="Arial" w:cs="Arial"/>
        </w:rPr>
        <w:t xml:space="preserve"> via OPC-UA.</w:t>
      </w:r>
      <w:r w:rsidR="00234E69" w:rsidRPr="00CD130B">
        <w:rPr>
          <w:rFonts w:ascii="Arial" w:hAnsi="Arial" w:cs="Arial"/>
        </w:rPr>
        <w:t xml:space="preserve"> </w:t>
      </w:r>
      <w:r w:rsidR="008C5253" w:rsidRPr="00CD130B">
        <w:rPr>
          <w:rStyle w:val="tlid-translation"/>
          <w:rFonts w:ascii="Arial" w:hAnsi="Arial" w:cs="Arial"/>
          <w:lang w:val="en"/>
        </w:rPr>
        <w:t xml:space="preserve">In addition, the MQTT to be launched by the master station provides you with a flexible message mode: publish / subscribe, which is why we call this IO-Link module the IoT Master. </w:t>
      </w:r>
      <w:r w:rsidR="00234E69" w:rsidRPr="00CD130B">
        <w:rPr>
          <w:rStyle w:val="tlid-translation"/>
          <w:rFonts w:ascii="Arial" w:hAnsi="Arial" w:cs="Arial"/>
          <w:lang w:val="en"/>
        </w:rPr>
        <w:t xml:space="preserve">OPC-UA technology combined with IO-Link communication method, in a </w:t>
      </w:r>
      <w:r w:rsidR="00A30537" w:rsidRPr="00CD130B">
        <w:rPr>
          <w:rStyle w:val="tlid-translation"/>
          <w:rFonts w:ascii="Arial" w:hAnsi="Arial" w:cs="Arial"/>
          <w:lang w:val="en"/>
        </w:rPr>
        <w:t xml:space="preserve">real </w:t>
      </w:r>
      <w:r w:rsidR="00234E69" w:rsidRPr="00CD130B">
        <w:rPr>
          <w:rStyle w:val="tlid-translation"/>
          <w:rFonts w:ascii="Arial" w:hAnsi="Arial" w:cs="Arial"/>
          <w:lang w:val="en"/>
        </w:rPr>
        <w:t>sense, realizes the interconnection and interconnection of all levels of the automation network (Cloud</w:t>
      </w:r>
      <w:r w:rsidR="00234E69" w:rsidRPr="00CD130B">
        <w:rPr>
          <w:rFonts w:ascii="Arial" w:hAnsi="Arial" w:cs="Arial"/>
        </w:rPr>
        <w:sym w:font="Wingdings" w:char="F0E0"/>
      </w:r>
      <w:r w:rsidR="00234E69" w:rsidRPr="00CD130B">
        <w:rPr>
          <w:rStyle w:val="tlid-translation"/>
          <w:rFonts w:ascii="Arial" w:hAnsi="Arial" w:cs="Arial"/>
          <w:lang w:val="en"/>
        </w:rPr>
        <w:t>PLC</w:t>
      </w:r>
      <w:r w:rsidR="00234E69" w:rsidRPr="00CD130B">
        <w:rPr>
          <w:rFonts w:ascii="Arial" w:hAnsi="Arial" w:cs="Arial"/>
        </w:rPr>
        <w:sym w:font="Wingdings" w:char="F0E0"/>
      </w:r>
      <w:r w:rsidR="00234E69" w:rsidRPr="00CD130B">
        <w:rPr>
          <w:rStyle w:val="tlid-translation"/>
          <w:rFonts w:ascii="Arial" w:hAnsi="Arial" w:cs="Arial"/>
          <w:lang w:val="en"/>
        </w:rPr>
        <w:t>Sensor).</w:t>
      </w:r>
      <w:r w:rsidR="009B17C4" w:rsidRPr="00CD130B">
        <w:rPr>
          <w:rFonts w:ascii="Arial" w:hAnsi="Arial" w:cs="Arial"/>
        </w:rPr>
        <w:t xml:space="preserve"> </w:t>
      </w:r>
      <w:r w:rsidR="009B17C4" w:rsidRPr="00CD130B">
        <w:rPr>
          <w:rStyle w:val="tlid-translation"/>
          <w:rFonts w:ascii="Arial" w:hAnsi="Arial" w:cs="Arial"/>
          <w:lang w:val="en"/>
        </w:rPr>
        <w:t>Intelligent sensor with IO link interface provides big data (process data, service data, event data) for industrial automation, and realizes remote setting, predictive maintenance, rapid replacement, online diagnosis and other functions.</w:t>
      </w:r>
      <w:r w:rsidR="00457F90" w:rsidRPr="00CD130B">
        <w:rPr>
          <w:rStyle w:val="tlid-translation"/>
          <w:rFonts w:ascii="Arial" w:hAnsi="Arial" w:cs="Arial"/>
          <w:lang w:val="en"/>
        </w:rPr>
        <w:t xml:space="preserve"> The production process of photovoltaic silicon wafers and battery wafers is complex, and the individual device buses are diversified.</w:t>
      </w:r>
      <w:r w:rsidR="00457F90" w:rsidRPr="00CD130B">
        <w:rPr>
          <w:rFonts w:ascii="Arial" w:hAnsi="Arial" w:cs="Arial"/>
        </w:rPr>
        <w:t xml:space="preserve"> The P+F Comtrol IO-Link Masters are the optimal solution for stand-alone cloud-based application as they provide seamless configuration down to the sensor level and a multi access concept supporting OPC UA.</w:t>
      </w:r>
    </w:p>
    <w:p w:rsidR="00E415C7" w:rsidRDefault="00E415C7" w:rsidP="00CD130B">
      <w:pPr>
        <w:rPr>
          <w:rFonts w:ascii="Arial" w:hAnsi="Arial" w:cs="Arial"/>
        </w:rPr>
      </w:pPr>
    </w:p>
    <w:p w:rsidR="00E415C7" w:rsidRPr="00E415C7" w:rsidRDefault="00E415C7" w:rsidP="00CD130B">
      <w:pPr>
        <w:rPr>
          <w:rFonts w:ascii="Arial" w:hAnsi="Arial" w:cs="Arial" w:hint="eastAsia"/>
          <w:b/>
        </w:rPr>
      </w:pPr>
      <w:r w:rsidRPr="00E415C7">
        <w:rPr>
          <w:rFonts w:ascii="Arial" w:hAnsi="Arial" w:cs="Arial"/>
          <w:b/>
        </w:rPr>
        <w:t>System diagram</w:t>
      </w:r>
      <w:r w:rsidRPr="00E415C7">
        <w:rPr>
          <w:rFonts w:ascii="Arial" w:hAnsi="Arial" w:cs="Arial" w:hint="eastAsia"/>
          <w:b/>
        </w:rPr>
        <w:t>:</w:t>
      </w:r>
    </w:p>
    <w:p w:rsidR="008557BD" w:rsidRDefault="00E415C7" w:rsidP="00E415C7">
      <w:pPr>
        <w:jc w:val="center"/>
      </w:pPr>
      <w:r w:rsidRPr="00FA15E3">
        <w:rPr>
          <w:noProof/>
        </w:rPr>
        <w:drawing>
          <wp:inline distT="0" distB="0" distL="0" distR="0" wp14:anchorId="6B6764DF" wp14:editId="7895BEB0">
            <wp:extent cx="4184650" cy="3939440"/>
            <wp:effectExtent l="19050" t="19050" r="25400" b="23495"/>
            <wp:docPr id="4" name="Picture 7" descr="MultiLink_OPC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ultiLink_OPCUA.jpg"/>
                    <pic:cNvPicPr>
                      <a:picLocks noChangeAspect="1"/>
                    </pic:cNvPicPr>
                  </pic:nvPicPr>
                  <pic:blipFill>
                    <a:blip r:embed="rId6"/>
                    <a:stretch>
                      <a:fillRect/>
                    </a:stretch>
                  </pic:blipFill>
                  <pic:spPr>
                    <a:xfrm>
                      <a:off x="0" y="0"/>
                      <a:ext cx="4186542" cy="3941221"/>
                    </a:xfrm>
                    <a:prstGeom prst="rect">
                      <a:avLst/>
                    </a:prstGeom>
                    <a:ln w="3175">
                      <a:solidFill>
                        <a:schemeClr val="tx1"/>
                      </a:solidFill>
                    </a:ln>
                  </pic:spPr>
                </pic:pic>
              </a:graphicData>
            </a:graphic>
          </wp:inline>
        </w:drawing>
      </w:r>
    </w:p>
    <w:p w:rsidR="00283BAD" w:rsidRDefault="00283BAD"/>
    <w:p w:rsidR="00283BAD" w:rsidRDefault="00283BAD"/>
    <w:p w:rsidR="005F2F5C" w:rsidRPr="00CD130B" w:rsidRDefault="005F2F5C">
      <w:r w:rsidRPr="00CD130B">
        <w:rPr>
          <w:rFonts w:hint="eastAsia"/>
        </w:rPr>
        <w:lastRenderedPageBreak/>
        <w:t>中文：</w:t>
      </w:r>
    </w:p>
    <w:p w:rsidR="00F257BD" w:rsidRPr="00CD130B" w:rsidRDefault="00F257BD"/>
    <w:p w:rsidR="007119B3" w:rsidRPr="007119B3" w:rsidRDefault="007119B3" w:rsidP="005F2F5C">
      <w:pPr>
        <w:rPr>
          <w:b/>
        </w:rPr>
      </w:pPr>
      <w:r>
        <w:rPr>
          <w:rFonts w:hint="eastAsia"/>
          <w:b/>
        </w:rPr>
        <w:t>演讲题目</w:t>
      </w:r>
      <w:r>
        <w:rPr>
          <w:rFonts w:hint="eastAsia"/>
          <w:b/>
        </w:rPr>
        <w:t>:</w:t>
      </w:r>
    </w:p>
    <w:p w:rsidR="00D77175" w:rsidRPr="00CD130B" w:rsidRDefault="00283BAD" w:rsidP="005F2F5C">
      <w:r w:rsidRPr="00CD130B">
        <w:rPr>
          <w:rFonts w:hint="eastAsia"/>
        </w:rPr>
        <w:t>倍加福基于</w:t>
      </w:r>
      <w:r w:rsidRPr="00CD130B">
        <w:rPr>
          <w:rFonts w:hint="eastAsia"/>
        </w:rPr>
        <w:t>IIOT</w:t>
      </w:r>
      <w:r w:rsidRPr="00CD130B">
        <w:rPr>
          <w:rFonts w:hint="eastAsia"/>
        </w:rPr>
        <w:t>概念的多链路技术</w:t>
      </w:r>
    </w:p>
    <w:p w:rsidR="00283BAD" w:rsidRPr="00CD130B" w:rsidRDefault="00FD7A6C">
      <w:r w:rsidRPr="00CD130B">
        <w:t xml:space="preserve">                             </w:t>
      </w:r>
      <w:r w:rsidR="00283BAD" w:rsidRPr="00CD130B">
        <w:t>--</w:t>
      </w:r>
      <w:r w:rsidR="00283BAD" w:rsidRPr="00CD130B">
        <w:rPr>
          <w:rFonts w:hint="eastAsia"/>
        </w:rPr>
        <w:t xml:space="preserve"> IT/OT</w:t>
      </w:r>
      <w:r w:rsidR="005F2F5C" w:rsidRPr="00CD130B">
        <w:rPr>
          <w:rFonts w:hint="eastAsia"/>
        </w:rPr>
        <w:t>融合创造多个数据价值链，与智能制造接轨提供</w:t>
      </w:r>
      <w:r w:rsidR="00283BAD" w:rsidRPr="00CD130B">
        <w:rPr>
          <w:rFonts w:hint="eastAsia"/>
        </w:rPr>
        <w:t>无限</w:t>
      </w:r>
      <w:r w:rsidR="005F2F5C" w:rsidRPr="00CD130B">
        <w:rPr>
          <w:rFonts w:hint="eastAsia"/>
        </w:rPr>
        <w:t>可能</w:t>
      </w:r>
    </w:p>
    <w:p w:rsidR="00FD7A6C" w:rsidRPr="007119B3" w:rsidRDefault="00FD7A6C">
      <w:pPr>
        <w:rPr>
          <w:b/>
        </w:rPr>
      </w:pPr>
      <w:r w:rsidRPr="007119B3">
        <w:rPr>
          <w:rFonts w:hint="eastAsia"/>
          <w:b/>
        </w:rPr>
        <w:t>摘要：</w:t>
      </w:r>
    </w:p>
    <w:p w:rsidR="00457F90" w:rsidRDefault="00FD7A6C" w:rsidP="00FD7A6C">
      <w:pPr>
        <w:rPr>
          <w:rStyle w:val="tlid-translation"/>
          <w:rFonts w:ascii="宋体" w:hAnsi="宋体" w:cs="宋体"/>
        </w:rPr>
      </w:pPr>
      <w:r w:rsidRPr="00CD130B">
        <w:rPr>
          <w:rStyle w:val="tlid-translation"/>
        </w:rPr>
        <w:t xml:space="preserve">         </w:t>
      </w:r>
      <w:r w:rsidR="003350D7" w:rsidRPr="00CD130B">
        <w:rPr>
          <w:rStyle w:val="tlid-translation"/>
          <w:rFonts w:hint="eastAsia"/>
        </w:rPr>
        <w:t>P + F Comtrol IO-Link</w:t>
      </w:r>
      <w:r w:rsidR="003350D7" w:rsidRPr="00CD130B">
        <w:rPr>
          <w:rStyle w:val="tlid-translation"/>
          <w:rFonts w:hint="eastAsia"/>
        </w:rPr>
        <w:t>主站</w:t>
      </w:r>
      <w:r w:rsidR="00F63E8B" w:rsidRPr="00CD130B">
        <w:rPr>
          <w:rStyle w:val="tlid-translation"/>
          <w:rFonts w:hint="eastAsia"/>
        </w:rPr>
        <w:t>通过工业以太网访问</w:t>
      </w:r>
      <w:r w:rsidR="003350D7" w:rsidRPr="00CD130B">
        <w:rPr>
          <w:rStyle w:val="tlid-translation"/>
          <w:rFonts w:hint="eastAsia"/>
        </w:rPr>
        <w:t>PLC</w:t>
      </w:r>
      <w:r w:rsidR="00F63E8B" w:rsidRPr="00CD130B">
        <w:rPr>
          <w:rStyle w:val="tlid-translation"/>
          <w:rFonts w:hint="eastAsia"/>
        </w:rPr>
        <w:t>的同时</w:t>
      </w:r>
      <w:r w:rsidR="003350D7" w:rsidRPr="00CD130B">
        <w:rPr>
          <w:rStyle w:val="tlid-translation"/>
          <w:rFonts w:hint="eastAsia"/>
        </w:rPr>
        <w:t>，可通过</w:t>
      </w:r>
      <w:r w:rsidR="003350D7" w:rsidRPr="00CD130B">
        <w:rPr>
          <w:rStyle w:val="tlid-translation"/>
          <w:rFonts w:hint="eastAsia"/>
        </w:rPr>
        <w:t>OPC-UA</w:t>
      </w:r>
      <w:r w:rsidR="003350D7" w:rsidRPr="00CD130B">
        <w:rPr>
          <w:rStyle w:val="tlid-translation"/>
          <w:rFonts w:hint="eastAsia"/>
        </w:rPr>
        <w:t>连接</w:t>
      </w:r>
      <w:r w:rsidR="003350D7" w:rsidRPr="00CD130B">
        <w:rPr>
          <w:rStyle w:val="tlid-translation"/>
          <w:rFonts w:hint="eastAsia"/>
        </w:rPr>
        <w:t>SCADA</w:t>
      </w:r>
      <w:r w:rsidR="00F63E8B" w:rsidRPr="00CD130B">
        <w:rPr>
          <w:rStyle w:val="tlid-translation"/>
          <w:rFonts w:hint="eastAsia"/>
        </w:rPr>
        <w:t>系统或企业云解决方案。</w:t>
      </w:r>
      <w:r w:rsidR="00A30537" w:rsidRPr="00CD130B">
        <w:rPr>
          <w:rStyle w:val="tlid-translation"/>
          <w:rFonts w:hint="eastAsia"/>
        </w:rPr>
        <w:t>除此之外，该主站即将开通的</w:t>
      </w:r>
      <w:r w:rsidR="00A30537" w:rsidRPr="00CD130B">
        <w:rPr>
          <w:rStyle w:val="tlid-translation"/>
          <w:rFonts w:hint="eastAsia"/>
        </w:rPr>
        <w:t>MQTT</w:t>
      </w:r>
      <w:r w:rsidR="00A30537" w:rsidRPr="00CD130B">
        <w:rPr>
          <w:rStyle w:val="tlid-translation"/>
          <w:rFonts w:hint="eastAsia"/>
        </w:rPr>
        <w:t>为您提供灵活的消息模式：</w:t>
      </w:r>
      <w:r w:rsidR="00A30537" w:rsidRPr="00CD130B">
        <w:rPr>
          <w:rFonts w:ascii="宋体" w:hAnsi="宋体" w:cs="宋体" w:hint="eastAsia"/>
          <w:b/>
          <w:bCs/>
        </w:rPr>
        <w:t>发布</w:t>
      </w:r>
      <w:r w:rsidR="00A30537" w:rsidRPr="00CD130B">
        <w:rPr>
          <w:rFonts w:ascii="Times New Roman" w:eastAsia="Times New Roman" w:hAnsi="Times New Roman" w:cs="Times New Roman" w:hint="eastAsia"/>
          <w:b/>
          <w:bCs/>
        </w:rPr>
        <w:t>/</w:t>
      </w:r>
      <w:r w:rsidR="00A30537" w:rsidRPr="00CD130B">
        <w:rPr>
          <w:rFonts w:ascii="宋体" w:hAnsi="宋体" w:cs="宋体" w:hint="eastAsia"/>
          <w:b/>
          <w:bCs/>
        </w:rPr>
        <w:t>订阅</w:t>
      </w:r>
      <w:r w:rsidR="00A30537" w:rsidRPr="00CD130B">
        <w:rPr>
          <w:rStyle w:val="tlid-translation"/>
          <w:rFonts w:hint="eastAsia"/>
        </w:rPr>
        <w:t>，这也是为什么称</w:t>
      </w:r>
      <w:r w:rsidR="00A30537" w:rsidRPr="00CD130B">
        <w:rPr>
          <w:rStyle w:val="tlid-translation"/>
          <w:rFonts w:hint="eastAsia"/>
        </w:rPr>
        <w:t>I</w:t>
      </w:r>
      <w:r w:rsidR="00A30537" w:rsidRPr="00CD130B">
        <w:rPr>
          <w:rStyle w:val="tlid-translation"/>
        </w:rPr>
        <w:t>O-Link</w:t>
      </w:r>
      <w:r w:rsidR="00A30537" w:rsidRPr="00CD130B">
        <w:rPr>
          <w:rStyle w:val="tlid-translation"/>
          <w:rFonts w:hint="eastAsia"/>
        </w:rPr>
        <w:t>模块为</w:t>
      </w:r>
      <w:r w:rsidR="00A30537" w:rsidRPr="00CD130B">
        <w:rPr>
          <w:rStyle w:val="tlid-translation"/>
          <w:rFonts w:hint="eastAsia"/>
        </w:rPr>
        <w:t xml:space="preserve"> </w:t>
      </w:r>
      <w:r w:rsidR="00AC3A1B" w:rsidRPr="00CD130B">
        <w:rPr>
          <w:rStyle w:val="tlid-translation"/>
        </w:rPr>
        <w:t>IoT Master</w:t>
      </w:r>
      <w:r w:rsidR="00AC3A1B" w:rsidRPr="00CD130B">
        <w:rPr>
          <w:rStyle w:val="tlid-translation"/>
        </w:rPr>
        <w:t>。</w:t>
      </w:r>
      <w:r w:rsidR="008773B8" w:rsidRPr="00CD130B">
        <w:rPr>
          <w:rStyle w:val="tlid-translation"/>
          <w:rFonts w:hint="eastAsia"/>
        </w:rPr>
        <w:t>OPC-UA</w:t>
      </w:r>
      <w:r w:rsidR="008773B8" w:rsidRPr="00CD130B">
        <w:rPr>
          <w:rStyle w:val="tlid-translation"/>
          <w:rFonts w:hint="eastAsia"/>
        </w:rPr>
        <w:t>技术结合</w:t>
      </w:r>
      <w:r w:rsidR="008773B8" w:rsidRPr="00CD130B">
        <w:rPr>
          <w:rStyle w:val="tlid-translation"/>
          <w:rFonts w:hint="eastAsia"/>
        </w:rPr>
        <w:t>IO-Link</w:t>
      </w:r>
      <w:r w:rsidR="008773B8" w:rsidRPr="00CD130B">
        <w:rPr>
          <w:rStyle w:val="tlid-translation"/>
          <w:rFonts w:hint="eastAsia"/>
        </w:rPr>
        <w:t>通讯方式，从真正意义上实现了自动化网络所有级别的互连互通（云</w:t>
      </w:r>
      <w:r w:rsidR="008773B8" w:rsidRPr="00CD130B">
        <w:rPr>
          <w:rFonts w:ascii="宋体" w:hAnsi="宋体" w:cs="宋体"/>
        </w:rPr>
        <w:sym w:font="Wingdings" w:char="F0E0"/>
      </w:r>
      <w:r w:rsidR="008773B8" w:rsidRPr="00CD130B">
        <w:rPr>
          <w:rStyle w:val="tlid-translation"/>
          <w:rFonts w:hint="eastAsia"/>
        </w:rPr>
        <w:t>PLC</w:t>
      </w:r>
      <w:r w:rsidR="008773B8" w:rsidRPr="00CD130B">
        <w:rPr>
          <w:rFonts w:ascii="宋体" w:hAnsi="宋体" w:cs="宋体"/>
        </w:rPr>
        <w:sym w:font="Wingdings" w:char="F0E0"/>
      </w:r>
      <w:r w:rsidR="008773B8" w:rsidRPr="00CD130B">
        <w:rPr>
          <w:rStyle w:val="tlid-translation"/>
          <w:rFonts w:hint="eastAsia"/>
        </w:rPr>
        <w:t>传感器）。</w:t>
      </w:r>
      <w:r w:rsidR="00234E69" w:rsidRPr="00CD130B">
        <w:rPr>
          <w:rStyle w:val="tlid-translation"/>
          <w:rFonts w:hint="eastAsia"/>
        </w:rPr>
        <w:t>带</w:t>
      </w:r>
      <w:r w:rsidR="00234E69" w:rsidRPr="00CD130B">
        <w:rPr>
          <w:rStyle w:val="tlid-translation"/>
          <w:rFonts w:hint="eastAsia"/>
        </w:rPr>
        <w:t>IO-Link</w:t>
      </w:r>
      <w:r w:rsidR="00234E69" w:rsidRPr="00CD130B">
        <w:rPr>
          <w:rStyle w:val="tlid-translation"/>
          <w:rFonts w:hint="eastAsia"/>
        </w:rPr>
        <w:t>接口的智能传感器，为工业自动化提供了大数据（过程数据、服务数据、事件数据</w:t>
      </w:r>
      <w:r w:rsidR="008C5253" w:rsidRPr="00CD130B">
        <w:rPr>
          <w:rStyle w:val="tlid-translation"/>
          <w:rFonts w:hint="eastAsia"/>
        </w:rPr>
        <w:t>），实现了远程设定、预见性维护、</w:t>
      </w:r>
      <w:r w:rsidR="006E5A15" w:rsidRPr="00CD130B">
        <w:rPr>
          <w:rStyle w:val="tlid-translation"/>
          <w:rFonts w:hint="eastAsia"/>
        </w:rPr>
        <w:t>快速替换、在线诊断等功能。光伏硅片、电池片</w:t>
      </w:r>
      <w:r w:rsidR="009B17C4" w:rsidRPr="00CD130B">
        <w:rPr>
          <w:rStyle w:val="tlid-translation"/>
          <w:rFonts w:hint="eastAsia"/>
        </w:rPr>
        <w:t>生产工艺</w:t>
      </w:r>
      <w:r w:rsidR="006E5A15" w:rsidRPr="00CD130B">
        <w:rPr>
          <w:rStyle w:val="tlid-translation"/>
          <w:rFonts w:hint="eastAsia"/>
        </w:rPr>
        <w:t>复杂、</w:t>
      </w:r>
      <w:r w:rsidR="009B17C4" w:rsidRPr="00CD130B">
        <w:rPr>
          <w:rStyle w:val="tlid-translation"/>
          <w:rFonts w:hint="eastAsia"/>
        </w:rPr>
        <w:t>单体设备总线</w:t>
      </w:r>
      <w:r w:rsidR="00BF3054">
        <w:rPr>
          <w:rStyle w:val="tlid-translation"/>
          <w:rFonts w:hint="eastAsia"/>
        </w:rPr>
        <w:t>多样化。</w:t>
      </w:r>
      <w:r w:rsidR="00457F90" w:rsidRPr="00CD130B">
        <w:rPr>
          <w:rStyle w:val="tlid-translation"/>
          <w:rFonts w:hint="eastAsia"/>
        </w:rPr>
        <w:t>IO-Link</w:t>
      </w:r>
      <w:r w:rsidR="00457F90" w:rsidRPr="00CD130B">
        <w:rPr>
          <w:rStyle w:val="tlid-translation"/>
        </w:rPr>
        <w:t xml:space="preserve"> </w:t>
      </w:r>
      <w:r w:rsidR="00457F90" w:rsidRPr="00CD130B">
        <w:rPr>
          <w:rStyle w:val="tlid-translation"/>
          <w:rFonts w:hint="eastAsia"/>
        </w:rPr>
        <w:t>M</w:t>
      </w:r>
      <w:r w:rsidR="00457F90" w:rsidRPr="00CD130B">
        <w:rPr>
          <w:rStyle w:val="tlid-translation"/>
        </w:rPr>
        <w:t>aster</w:t>
      </w:r>
      <w:r w:rsidR="00457F90" w:rsidRPr="00CD130B">
        <w:rPr>
          <w:rStyle w:val="tlid-translation"/>
          <w:rFonts w:hint="eastAsia"/>
        </w:rPr>
        <w:t>是基于云应用的最</w:t>
      </w:r>
      <w:bookmarkStart w:id="0" w:name="_GoBack"/>
      <w:bookmarkEnd w:id="0"/>
      <w:r w:rsidR="00457F90" w:rsidRPr="00CD130B">
        <w:rPr>
          <w:rStyle w:val="tlid-translation"/>
          <w:rFonts w:hint="eastAsia"/>
        </w:rPr>
        <w:t>佳解决方案，因为它们提供了传感器级别的无缝配置以及支持</w:t>
      </w:r>
      <w:r w:rsidR="00457F90" w:rsidRPr="00CD130B">
        <w:rPr>
          <w:rStyle w:val="tlid-translation"/>
          <w:rFonts w:hint="eastAsia"/>
        </w:rPr>
        <w:t>OPC UA</w:t>
      </w:r>
      <w:r w:rsidR="00457F90" w:rsidRPr="00CD130B">
        <w:rPr>
          <w:rStyle w:val="tlid-translation"/>
          <w:rFonts w:hint="eastAsia"/>
        </w:rPr>
        <w:t>的多址概念</w:t>
      </w:r>
      <w:r w:rsidR="00457F90" w:rsidRPr="00CD130B">
        <w:rPr>
          <w:rStyle w:val="tlid-translation"/>
          <w:rFonts w:ascii="宋体" w:hAnsi="宋体" w:cs="宋体" w:hint="eastAsia"/>
        </w:rPr>
        <w:t>。</w:t>
      </w:r>
    </w:p>
    <w:p w:rsidR="00E415C7" w:rsidRDefault="00E415C7" w:rsidP="00FD7A6C">
      <w:pPr>
        <w:rPr>
          <w:rStyle w:val="tlid-translation"/>
          <w:rFonts w:ascii="宋体" w:hAnsi="宋体" w:cs="宋体"/>
        </w:rPr>
      </w:pPr>
    </w:p>
    <w:p w:rsidR="00E415C7" w:rsidRDefault="00E415C7" w:rsidP="00FD7A6C">
      <w:pPr>
        <w:rPr>
          <w:rStyle w:val="tlid-translation"/>
          <w:rFonts w:ascii="宋体" w:hAnsi="宋体" w:cs="宋体"/>
          <w:b/>
        </w:rPr>
      </w:pPr>
      <w:r w:rsidRPr="007119B3">
        <w:rPr>
          <w:rStyle w:val="tlid-translation"/>
          <w:rFonts w:ascii="宋体" w:hAnsi="宋体" w:cs="宋体" w:hint="eastAsia"/>
          <w:b/>
        </w:rPr>
        <w:t>系统</w:t>
      </w:r>
      <w:r w:rsidR="007119B3" w:rsidRPr="007119B3">
        <w:rPr>
          <w:rStyle w:val="tlid-translation"/>
          <w:rFonts w:ascii="宋体" w:hAnsi="宋体" w:cs="宋体" w:hint="eastAsia"/>
          <w:b/>
        </w:rPr>
        <w:t>示意</w:t>
      </w:r>
      <w:r w:rsidRPr="007119B3">
        <w:rPr>
          <w:rStyle w:val="tlid-translation"/>
          <w:rFonts w:ascii="宋体" w:hAnsi="宋体" w:cs="宋体" w:hint="eastAsia"/>
          <w:b/>
        </w:rPr>
        <w:t>图：</w:t>
      </w:r>
    </w:p>
    <w:p w:rsidR="007119B3" w:rsidRPr="007119B3" w:rsidRDefault="007119B3" w:rsidP="00FD7A6C">
      <w:pPr>
        <w:rPr>
          <w:rStyle w:val="tlid-translation"/>
          <w:rFonts w:ascii="宋体" w:hAnsi="宋体" w:cs="宋体" w:hint="eastAsia"/>
          <w:b/>
        </w:rPr>
      </w:pPr>
    </w:p>
    <w:p w:rsidR="00E01400" w:rsidRDefault="00E415C7" w:rsidP="00E415C7">
      <w:pPr>
        <w:jc w:val="center"/>
      </w:pPr>
      <w:r w:rsidRPr="00FA15E3">
        <w:rPr>
          <w:noProof/>
        </w:rPr>
        <w:drawing>
          <wp:inline distT="0" distB="0" distL="0" distR="0" wp14:anchorId="4B9E81F4" wp14:editId="1AEC57AB">
            <wp:extent cx="4184650" cy="3939440"/>
            <wp:effectExtent l="19050" t="19050" r="25400" b="23495"/>
            <wp:docPr id="3" name="Picture 7" descr="MultiLink_OPC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ultiLink_OPCUA.jpg"/>
                    <pic:cNvPicPr>
                      <a:picLocks noChangeAspect="1"/>
                    </pic:cNvPicPr>
                  </pic:nvPicPr>
                  <pic:blipFill>
                    <a:blip r:embed="rId6"/>
                    <a:stretch>
                      <a:fillRect/>
                    </a:stretch>
                  </pic:blipFill>
                  <pic:spPr>
                    <a:xfrm>
                      <a:off x="0" y="0"/>
                      <a:ext cx="4186542" cy="3941221"/>
                    </a:xfrm>
                    <a:prstGeom prst="rect">
                      <a:avLst/>
                    </a:prstGeom>
                    <a:ln w="3175">
                      <a:solidFill>
                        <a:schemeClr val="tx1"/>
                      </a:solidFill>
                    </a:ln>
                  </pic:spPr>
                </pic:pic>
              </a:graphicData>
            </a:graphic>
          </wp:inline>
        </w:drawing>
      </w:r>
    </w:p>
    <w:p w:rsidR="003350D7" w:rsidRDefault="003350D7"/>
    <w:sectPr w:rsidR="003350D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ED1" w:rsidRDefault="003E3ED1" w:rsidP="00283BAD">
      <w:r>
        <w:separator/>
      </w:r>
    </w:p>
  </w:endnote>
  <w:endnote w:type="continuationSeparator" w:id="0">
    <w:p w:rsidR="003E3ED1" w:rsidRDefault="003E3ED1" w:rsidP="00283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ED1" w:rsidRDefault="003E3ED1" w:rsidP="00283BAD">
      <w:r>
        <w:separator/>
      </w:r>
    </w:p>
  </w:footnote>
  <w:footnote w:type="continuationSeparator" w:id="0">
    <w:p w:rsidR="003E3ED1" w:rsidRDefault="003E3ED1" w:rsidP="00283B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AD2"/>
    <w:rsid w:val="00234E69"/>
    <w:rsid w:val="00283BAD"/>
    <w:rsid w:val="003350D7"/>
    <w:rsid w:val="00370C95"/>
    <w:rsid w:val="003E3ED1"/>
    <w:rsid w:val="00457F90"/>
    <w:rsid w:val="004631EA"/>
    <w:rsid w:val="004A0AD2"/>
    <w:rsid w:val="005214D3"/>
    <w:rsid w:val="005F2F5C"/>
    <w:rsid w:val="006E5A15"/>
    <w:rsid w:val="007119B3"/>
    <w:rsid w:val="00780774"/>
    <w:rsid w:val="00795A69"/>
    <w:rsid w:val="008557BD"/>
    <w:rsid w:val="008773B8"/>
    <w:rsid w:val="008C5253"/>
    <w:rsid w:val="009B17C4"/>
    <w:rsid w:val="00A22997"/>
    <w:rsid w:val="00A30537"/>
    <w:rsid w:val="00AC3A1B"/>
    <w:rsid w:val="00BF3054"/>
    <w:rsid w:val="00CD130B"/>
    <w:rsid w:val="00D77175"/>
    <w:rsid w:val="00E01400"/>
    <w:rsid w:val="00E415C7"/>
    <w:rsid w:val="00F257BD"/>
    <w:rsid w:val="00F63E8B"/>
    <w:rsid w:val="00FD7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A3C257F-1884-4934-80D8-DCB29D7F6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774"/>
    <w:pPr>
      <w:spacing w:after="0" w:line="240" w:lineRule="auto"/>
    </w:pPr>
    <w:rPr>
      <w:rFonts w:ascii="Calibri" w:eastAsia="宋体"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BAD"/>
    <w:pPr>
      <w:tabs>
        <w:tab w:val="center" w:pos="4320"/>
        <w:tab w:val="right" w:pos="8640"/>
      </w:tabs>
    </w:pPr>
  </w:style>
  <w:style w:type="character" w:customStyle="1" w:styleId="HeaderChar">
    <w:name w:val="Header Char"/>
    <w:basedOn w:val="DefaultParagraphFont"/>
    <w:link w:val="Header"/>
    <w:uiPriority w:val="99"/>
    <w:rsid w:val="00283BAD"/>
    <w:rPr>
      <w:rFonts w:ascii="Calibri" w:eastAsia="宋体" w:hAnsi="Calibri" w:cs="Calibri"/>
    </w:rPr>
  </w:style>
  <w:style w:type="paragraph" w:styleId="Footer">
    <w:name w:val="footer"/>
    <w:basedOn w:val="Normal"/>
    <w:link w:val="FooterChar"/>
    <w:uiPriority w:val="99"/>
    <w:unhideWhenUsed/>
    <w:rsid w:val="00283BAD"/>
    <w:pPr>
      <w:tabs>
        <w:tab w:val="center" w:pos="4320"/>
        <w:tab w:val="right" w:pos="8640"/>
      </w:tabs>
    </w:pPr>
  </w:style>
  <w:style w:type="character" w:customStyle="1" w:styleId="FooterChar">
    <w:name w:val="Footer Char"/>
    <w:basedOn w:val="DefaultParagraphFont"/>
    <w:link w:val="Footer"/>
    <w:uiPriority w:val="99"/>
    <w:rsid w:val="00283BAD"/>
    <w:rPr>
      <w:rFonts w:ascii="Calibri" w:eastAsia="宋体" w:hAnsi="Calibri" w:cs="Calibri"/>
    </w:rPr>
  </w:style>
  <w:style w:type="character" w:customStyle="1" w:styleId="tlid-translation">
    <w:name w:val="tlid-translation"/>
    <w:basedOn w:val="DefaultParagraphFont"/>
    <w:rsid w:val="00335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891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2</Pages>
  <Words>266</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Pepperl+Fuchs Group</Company>
  <LinksUpToDate>false</LinksUpToDate>
  <CharactersWithSpaces>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Ling Wen</dc:creator>
  <cp:keywords/>
  <dc:description/>
  <cp:lastModifiedBy>Yu Ling Wen</cp:lastModifiedBy>
  <cp:revision>18</cp:revision>
  <dcterms:created xsi:type="dcterms:W3CDTF">2020-01-02T09:16:00Z</dcterms:created>
  <dcterms:modified xsi:type="dcterms:W3CDTF">2020-01-03T05:23:00Z</dcterms:modified>
</cp:coreProperties>
</file>