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5235" w14:textId="116625C6" w:rsidR="00E7266A" w:rsidRDefault="00A05A31" w:rsidP="00D41274">
      <w:pPr>
        <w:pStyle w:val="IEEEAuthorName"/>
        <w:rPr>
          <w:rFonts w:eastAsia="SimSun"/>
          <w:sz w:val="48"/>
          <w:lang w:val="en-AU" w:eastAsia="zh-CN"/>
        </w:rPr>
      </w:pPr>
      <w:bookmarkStart w:id="0" w:name="_GoBack"/>
      <w:r>
        <w:rPr>
          <w:rFonts w:eastAsia="SimSun"/>
          <w:sz w:val="48"/>
          <w:lang w:val="en-AU" w:eastAsia="zh-CN"/>
        </w:rPr>
        <w:t xml:space="preserve">Floating solar photovoltaic farms: </w:t>
      </w:r>
      <w:r w:rsidR="00AA33A1">
        <w:rPr>
          <w:rFonts w:eastAsia="SimSun"/>
          <w:sz w:val="48"/>
          <w:lang w:val="en-AU" w:eastAsia="zh-CN"/>
        </w:rPr>
        <w:t xml:space="preserve">A </w:t>
      </w:r>
      <w:r>
        <w:rPr>
          <w:rFonts w:eastAsia="SimSun"/>
          <w:sz w:val="48"/>
          <w:lang w:val="en-AU" w:eastAsia="zh-CN"/>
        </w:rPr>
        <w:t>state of the art of the numerical modelling solutions</w:t>
      </w:r>
      <w:bookmarkEnd w:id="0"/>
      <w:r w:rsidR="00E7266A" w:rsidRPr="00E7266A">
        <w:rPr>
          <w:rFonts w:eastAsia="SimSun"/>
          <w:sz w:val="48"/>
          <w:lang w:val="en-AU" w:eastAsia="zh-CN"/>
        </w:rPr>
        <w:t>.</w:t>
      </w:r>
    </w:p>
    <w:p w14:paraId="339EA940" w14:textId="26149E16" w:rsidR="00D41274" w:rsidRPr="00E7266A" w:rsidRDefault="00AA33A1" w:rsidP="00D41274">
      <w:pPr>
        <w:pStyle w:val="IEEEAuthorName"/>
      </w:pPr>
      <w:r>
        <w:t>Benjamin</w:t>
      </w:r>
      <w:r w:rsidR="00E7266A">
        <w:t xml:space="preserve"> </w:t>
      </w:r>
      <w:r>
        <w:t>Gendron</w:t>
      </w:r>
      <w:r w:rsidR="00D41274" w:rsidRPr="002162BB">
        <w:rPr>
          <w:vertAlign w:val="superscript"/>
        </w:rPr>
        <w:t>#1</w:t>
      </w:r>
      <w:r w:rsidR="00D41274" w:rsidRPr="002162BB">
        <w:t xml:space="preserve">, </w:t>
      </w:r>
      <w:r w:rsidR="00E7266A">
        <w:t>F</w:t>
      </w:r>
      <w:r w:rsidR="0079672F">
        <w:t>é</w:t>
      </w:r>
      <w:r w:rsidR="00E7266A">
        <w:t>lix Gorintin</w:t>
      </w:r>
      <w:r>
        <w:rPr>
          <w:vertAlign w:val="superscript"/>
        </w:rPr>
        <w:t>#</w:t>
      </w:r>
      <w:r w:rsidR="00D41274" w:rsidRPr="002162BB">
        <w:rPr>
          <w:vertAlign w:val="superscript"/>
        </w:rPr>
        <w:t>2</w:t>
      </w:r>
      <w:r w:rsidR="00E7266A">
        <w:t>,</w:t>
      </w:r>
      <w:r w:rsidR="00E7266A">
        <w:rPr>
          <w:vertAlign w:val="superscript"/>
        </w:rPr>
        <w:t xml:space="preserve"> </w:t>
      </w:r>
      <w:r>
        <w:t xml:space="preserve">Maria </w:t>
      </w:r>
      <w:r w:rsidRPr="00AA33A1">
        <w:t xml:space="preserve">Ikhennicheu </w:t>
      </w:r>
      <w:r w:rsidR="00E7266A" w:rsidRPr="002162BB">
        <w:rPr>
          <w:vertAlign w:val="superscript"/>
        </w:rPr>
        <w:t>#</w:t>
      </w:r>
      <w:r>
        <w:rPr>
          <w:vertAlign w:val="superscript"/>
        </w:rPr>
        <w:t>3</w:t>
      </w:r>
      <w:r w:rsidR="0079672F">
        <w:t>,</w:t>
      </w:r>
      <w:r w:rsidR="0079672F">
        <w:rPr>
          <w:vertAlign w:val="superscript"/>
        </w:rPr>
        <w:t xml:space="preserve"> </w:t>
      </w:r>
      <w:r w:rsidR="0079672F">
        <w:t>Mattias Lynch</w:t>
      </w:r>
      <w:r w:rsidR="0079672F" w:rsidRPr="00AA33A1">
        <w:t xml:space="preserve"> </w:t>
      </w:r>
      <w:r w:rsidR="0079672F" w:rsidRPr="002162BB">
        <w:rPr>
          <w:vertAlign w:val="superscript"/>
        </w:rPr>
        <w:t>#</w:t>
      </w:r>
      <w:r w:rsidR="0079672F">
        <w:rPr>
          <w:vertAlign w:val="superscript"/>
        </w:rPr>
        <w:t>4</w:t>
      </w:r>
    </w:p>
    <w:p w14:paraId="78CAFD8C" w14:textId="77777777" w:rsidR="00D41274" w:rsidRPr="00E7266A" w:rsidRDefault="00D41274" w:rsidP="00E7266A">
      <w:pPr>
        <w:pStyle w:val="IEEEAuthorAffiliation"/>
        <w:rPr>
          <w:lang w:val="fr-FR"/>
        </w:rPr>
      </w:pPr>
      <w:r w:rsidRPr="00E7266A">
        <w:rPr>
          <w:vertAlign w:val="superscript"/>
          <w:lang w:val="fr-FR"/>
        </w:rPr>
        <w:t>*</w:t>
      </w:r>
      <w:r w:rsidR="00E7266A" w:rsidRPr="00E7266A">
        <w:rPr>
          <w:lang w:val="fr-FR"/>
        </w:rPr>
        <w:t xml:space="preserve"> INNOSEA France</w:t>
      </w:r>
      <w:r w:rsidRPr="00E7266A">
        <w:rPr>
          <w:lang w:val="fr-FR"/>
        </w:rPr>
        <w:br w:type="textWrapping" w:clear="all"/>
      </w:r>
      <w:r w:rsidR="00585769" w:rsidRPr="00E7266A">
        <w:rPr>
          <w:lang w:val="fr-FR"/>
        </w:rPr>
        <w:t xml:space="preserve"> </w:t>
      </w:r>
      <w:r w:rsidR="00E7266A">
        <w:rPr>
          <w:lang w:val="fr-FR"/>
        </w:rPr>
        <w:t xml:space="preserve">1 rue de la </w:t>
      </w:r>
      <w:proofErr w:type="spellStart"/>
      <w:r w:rsidR="00E7266A">
        <w:rPr>
          <w:lang w:val="fr-FR"/>
        </w:rPr>
        <w:t>Noë</w:t>
      </w:r>
      <w:proofErr w:type="spellEnd"/>
      <w:r w:rsidR="00E7266A">
        <w:rPr>
          <w:lang w:val="fr-FR"/>
        </w:rPr>
        <w:t xml:space="preserve">, </w:t>
      </w:r>
      <w:r w:rsidR="00E7266A" w:rsidRPr="00E7266A">
        <w:rPr>
          <w:lang w:val="fr-FR"/>
        </w:rPr>
        <w:t>44 321, Nantes CEDEX 03</w:t>
      </w:r>
      <w:r w:rsidR="00E7266A">
        <w:rPr>
          <w:lang w:val="fr-FR"/>
        </w:rPr>
        <w:t>, France</w:t>
      </w:r>
    </w:p>
    <w:p w14:paraId="4F3265F0" w14:textId="7A4622AA" w:rsidR="00AA33A1" w:rsidRDefault="00AC4971" w:rsidP="00AA33A1">
      <w:pPr>
        <w:pStyle w:val="IEEEAuthorEmail"/>
      </w:pPr>
      <w:hyperlink r:id="rId6" w:history="1">
        <w:r w:rsidR="00AA33A1" w:rsidRPr="00825872">
          <w:rPr>
            <w:rStyle w:val="Lienhypertexte"/>
            <w:vertAlign w:val="superscript"/>
          </w:rPr>
          <w:t>1</w:t>
        </w:r>
        <w:r w:rsidR="00AA33A1" w:rsidRPr="00825872">
          <w:rPr>
            <w:rStyle w:val="Lienhypertexte"/>
          </w:rPr>
          <w:t>benjamin.gendron@innosea.fr</w:t>
        </w:r>
      </w:hyperlink>
    </w:p>
    <w:p w14:paraId="39596ED4" w14:textId="7C1F939D" w:rsidR="00AA33A1" w:rsidRPr="00AA33A1" w:rsidRDefault="00AC4971" w:rsidP="00AA33A1">
      <w:pPr>
        <w:pStyle w:val="IEEEAuthorEmail"/>
      </w:pPr>
      <w:hyperlink r:id="rId7" w:history="1">
        <w:r w:rsidR="00AA33A1" w:rsidRPr="00D07DF7">
          <w:rPr>
            <w:rStyle w:val="Lienhypertexte"/>
            <w:vertAlign w:val="superscript"/>
          </w:rPr>
          <w:t>2</w:t>
        </w:r>
        <w:r w:rsidR="00AA33A1" w:rsidRPr="00D07DF7">
          <w:rPr>
            <w:rStyle w:val="Lienhypertexte"/>
          </w:rPr>
          <w:t>felix.gorintin@innosea.fr</w:t>
        </w:r>
      </w:hyperlink>
    </w:p>
    <w:p w14:paraId="1E6DEA0F" w14:textId="43632D1B" w:rsidR="00D41274" w:rsidRDefault="00AC4971" w:rsidP="002B0DBD">
      <w:pPr>
        <w:pStyle w:val="IEEEAuthorEmail"/>
        <w:rPr>
          <w:rStyle w:val="Lienhypertexte"/>
        </w:rPr>
      </w:pPr>
      <w:hyperlink r:id="rId8" w:history="1">
        <w:r w:rsidR="00AA33A1" w:rsidRPr="00825872">
          <w:rPr>
            <w:rStyle w:val="Lienhypertexte"/>
            <w:vertAlign w:val="superscript"/>
          </w:rPr>
          <w:t>3</w:t>
        </w:r>
        <w:r w:rsidR="00AA33A1" w:rsidRPr="00825872">
          <w:rPr>
            <w:rStyle w:val="Lienhypertexte"/>
          </w:rPr>
          <w:t>maria.ikhnennicheu@innosea.fr</w:t>
        </w:r>
      </w:hyperlink>
    </w:p>
    <w:p w14:paraId="4EC645B1" w14:textId="5B0CCC32" w:rsidR="0079672F" w:rsidRPr="0079672F" w:rsidRDefault="0079672F" w:rsidP="0079672F">
      <w:pPr>
        <w:pStyle w:val="IEEEAuthorEmail"/>
      </w:pPr>
      <w:hyperlink r:id="rId9" w:history="1">
        <w:r w:rsidRPr="00F74E5C">
          <w:rPr>
            <w:rStyle w:val="Lienhypertexte"/>
            <w:vertAlign w:val="superscript"/>
          </w:rPr>
          <w:t>4</w:t>
        </w:r>
        <w:r w:rsidRPr="00F74E5C">
          <w:rPr>
            <w:rStyle w:val="Lienhypertexte"/>
          </w:rPr>
          <w:t>ma</w:t>
        </w:r>
        <w:r w:rsidRPr="00F74E5C">
          <w:rPr>
            <w:rStyle w:val="Lienhypertexte"/>
          </w:rPr>
          <w:t>ttias</w:t>
        </w:r>
        <w:r w:rsidRPr="00F74E5C">
          <w:rPr>
            <w:rStyle w:val="Lienhypertexte"/>
          </w:rPr>
          <w:t>.</w:t>
        </w:r>
        <w:r w:rsidRPr="00F74E5C">
          <w:rPr>
            <w:rStyle w:val="Lienhypertexte"/>
          </w:rPr>
          <w:t>lynch</w:t>
        </w:r>
        <w:r w:rsidRPr="00F74E5C">
          <w:rPr>
            <w:rStyle w:val="Lienhypertexte"/>
          </w:rPr>
          <w:t>@innosea.fr</w:t>
        </w:r>
      </w:hyperlink>
    </w:p>
    <w:p w14:paraId="4E634D39" w14:textId="77777777" w:rsidR="00D41274" w:rsidRPr="00D41274" w:rsidRDefault="00D41274" w:rsidP="00D41274"/>
    <w:p w14:paraId="52966BA2" w14:textId="77777777" w:rsidR="00D41274" w:rsidRDefault="00D41274" w:rsidP="00883903">
      <w:pPr>
        <w:ind w:right="-811"/>
        <w:sectPr w:rsidR="00D41274" w:rsidSect="00CC24CA">
          <w:pgSz w:w="11906" w:h="16838"/>
          <w:pgMar w:top="1077" w:right="811" w:bottom="1135" w:left="811" w:header="709" w:footer="709" w:gutter="0"/>
          <w:cols w:space="708"/>
          <w:docGrid w:linePitch="360"/>
        </w:sectPr>
      </w:pPr>
    </w:p>
    <w:p w14:paraId="6FABFD37" w14:textId="77777777" w:rsidR="00231606" w:rsidRDefault="00231606" w:rsidP="00081EBE">
      <w:pPr>
        <w:pStyle w:val="IEEEHeading1"/>
      </w:pPr>
      <w:r>
        <w:t>Keywords</w:t>
      </w:r>
    </w:p>
    <w:p w14:paraId="341E1F3E" w14:textId="375D40EA" w:rsidR="00231606" w:rsidRPr="00231606" w:rsidRDefault="0060138D" w:rsidP="00231606">
      <w:pPr>
        <w:pStyle w:val="IEEEParagraph"/>
      </w:pPr>
      <w:r>
        <w:t xml:space="preserve">State of the art, </w:t>
      </w:r>
      <w:proofErr w:type="spellStart"/>
      <w:r>
        <w:rPr>
          <w:lang w:val="fr-FR" w:eastAsia="fr-FR"/>
        </w:rPr>
        <w:t>Photovolta</w:t>
      </w:r>
      <w:r w:rsidR="009576DE">
        <w:rPr>
          <w:lang w:val="fr-FR" w:eastAsia="fr-FR"/>
        </w:rPr>
        <w:t>ï</w:t>
      </w:r>
      <w:r>
        <w:rPr>
          <w:lang w:val="fr-FR" w:eastAsia="fr-FR"/>
        </w:rPr>
        <w:t>cs</w:t>
      </w:r>
      <w:proofErr w:type="spellEnd"/>
      <w:r>
        <w:rPr>
          <w:lang w:val="fr-FR" w:eastAsia="fr-FR"/>
        </w:rPr>
        <w:t xml:space="preserve">, </w:t>
      </w:r>
      <w:r w:rsidR="009576DE">
        <w:rPr>
          <w:lang w:val="fr-FR" w:eastAsia="fr-FR"/>
        </w:rPr>
        <w:t>F</w:t>
      </w:r>
      <w:r>
        <w:rPr>
          <w:lang w:val="fr-FR" w:eastAsia="fr-FR"/>
        </w:rPr>
        <w:t xml:space="preserve">loating PV, </w:t>
      </w:r>
      <w:proofErr w:type="spellStart"/>
      <w:r w:rsidR="009576DE">
        <w:rPr>
          <w:lang w:val="fr-FR" w:eastAsia="fr-FR"/>
        </w:rPr>
        <w:t>M</w:t>
      </w:r>
      <w:r w:rsidR="00C879A1">
        <w:rPr>
          <w:lang w:val="fr-FR" w:eastAsia="fr-FR"/>
        </w:rPr>
        <w:t>oorings</w:t>
      </w:r>
      <w:proofErr w:type="spellEnd"/>
      <w:r w:rsidR="00231606">
        <w:t>.</w:t>
      </w:r>
    </w:p>
    <w:p w14:paraId="02A15589" w14:textId="77777777" w:rsidR="00AD335D" w:rsidRDefault="00231606" w:rsidP="00081EBE">
      <w:pPr>
        <w:pStyle w:val="IEEEHeading1"/>
      </w:pPr>
      <w:r>
        <w:t>Abstract</w:t>
      </w:r>
    </w:p>
    <w:p w14:paraId="025B0B3E" w14:textId="507FDF4C" w:rsidR="001739C6" w:rsidRDefault="001739C6" w:rsidP="00E7266A">
      <w:pPr>
        <w:pStyle w:val="IEEEParagraph"/>
      </w:pPr>
      <w:r>
        <w:t>This study is intended to present</w:t>
      </w:r>
      <w:r w:rsidR="00AA33A1">
        <w:t xml:space="preserve"> a state of the art of the</w:t>
      </w:r>
      <w:r>
        <w:t xml:space="preserve"> </w:t>
      </w:r>
      <w:r w:rsidR="00A05A31">
        <w:t xml:space="preserve">different methods used for the </w:t>
      </w:r>
      <w:r w:rsidR="0079672F">
        <w:t xml:space="preserve">numerical </w:t>
      </w:r>
      <w:r w:rsidR="00A05A31">
        <w:t>simulation of floating solar farm</w:t>
      </w:r>
      <w:r w:rsidR="00AA33A1">
        <w:t>s</w:t>
      </w:r>
      <w:r w:rsidR="0079672F">
        <w:t xml:space="preserve"> and its mooring lines</w:t>
      </w:r>
      <w:r w:rsidR="00AA33A1">
        <w:t>.</w:t>
      </w:r>
    </w:p>
    <w:p w14:paraId="268F6B8E" w14:textId="77777777" w:rsidR="003E6E38" w:rsidRDefault="003E6E38" w:rsidP="00E7266A">
      <w:pPr>
        <w:pStyle w:val="IEEEParagraph"/>
      </w:pPr>
    </w:p>
    <w:p w14:paraId="04C6C9FD" w14:textId="1EA5B11C" w:rsidR="003E6E38" w:rsidRDefault="00FB5CAA" w:rsidP="00E7266A">
      <w:pPr>
        <w:pStyle w:val="IEEEParagraph"/>
      </w:pPr>
      <w:r>
        <w:t xml:space="preserve">The market of floating solar farms is recent and enables the use of land that would otherwise be un-exploited such as </w:t>
      </w:r>
      <w:r w:rsidR="00552519">
        <w:t xml:space="preserve">lakes, </w:t>
      </w:r>
      <w:r>
        <w:t>flooded carriers, dam</w:t>
      </w:r>
      <w:r w:rsidR="00B542DE">
        <w:t>n</w:t>
      </w:r>
      <w:r>
        <w:t xml:space="preserve"> lakes or swamp area</w:t>
      </w:r>
      <w:r w:rsidR="00BE0A53">
        <w:t>s</w:t>
      </w:r>
      <w:r w:rsidR="00552519">
        <w:t>.</w:t>
      </w:r>
      <w:r w:rsidR="00B542DE" w:rsidRPr="00B542DE">
        <w:t xml:space="preserve"> </w:t>
      </w:r>
      <w:r w:rsidR="00552519">
        <w:t>W</w:t>
      </w:r>
      <w:r w:rsidR="00B542DE">
        <w:t>hen looking at</w:t>
      </w:r>
      <w:r w:rsidR="00B542DE" w:rsidRPr="00B542DE">
        <w:t xml:space="preserve"> the perspective of the available surface area</w:t>
      </w:r>
      <w:r w:rsidR="00B542DE">
        <w:t xml:space="preserve"> around the world</w:t>
      </w:r>
      <w:r w:rsidR="00552519">
        <w:t>, f</w:t>
      </w:r>
      <w:r w:rsidR="00552519" w:rsidRPr="00B542DE">
        <w:t>loating solar has a</w:t>
      </w:r>
      <w:r w:rsidR="009B03FC">
        <w:t xml:space="preserve"> real</w:t>
      </w:r>
      <w:r w:rsidR="00552519" w:rsidRPr="00B542DE">
        <w:t xml:space="preserve"> potential</w:t>
      </w:r>
      <w:r w:rsidR="009B03FC">
        <w:t>.</w:t>
      </w:r>
    </w:p>
    <w:p w14:paraId="7AACD178" w14:textId="77777777" w:rsidR="003E6E38" w:rsidRDefault="003E6E38" w:rsidP="00E7266A">
      <w:pPr>
        <w:pStyle w:val="IEEEParagraph"/>
      </w:pPr>
    </w:p>
    <w:p w14:paraId="1C5F13FE" w14:textId="39943E2C" w:rsidR="00FB5CAA" w:rsidRDefault="001739C6" w:rsidP="00E7266A">
      <w:pPr>
        <w:pStyle w:val="IEEEParagraph"/>
      </w:pPr>
      <w:r>
        <w:t xml:space="preserve">The question of </w:t>
      </w:r>
      <w:r w:rsidR="00FB5CAA">
        <w:t xml:space="preserve">the loads acting on a solar farm and the resulting displacements </w:t>
      </w:r>
      <w:r>
        <w:t xml:space="preserve">is </w:t>
      </w:r>
      <w:r w:rsidR="00FB5CAA">
        <w:t xml:space="preserve">important as it determines the size of the moorings and the costs of the farm. </w:t>
      </w:r>
      <w:r w:rsidR="00BE0A53">
        <w:t xml:space="preserve">Having a model that </w:t>
      </w:r>
      <w:proofErr w:type="gramStart"/>
      <w:r w:rsidR="00BE0A53">
        <w:t>is</w:t>
      </w:r>
      <w:r w:rsidR="00FB5CAA">
        <w:t xml:space="preserve"> able to</w:t>
      </w:r>
      <w:proofErr w:type="gramEnd"/>
      <w:r w:rsidR="00FB5CAA">
        <w:t xml:space="preserve"> estimate the loads on the farm</w:t>
      </w:r>
      <w:r w:rsidR="00B542DE">
        <w:t>, wind and wave</w:t>
      </w:r>
      <w:r w:rsidR="00FB5CAA">
        <w:t>,</w:t>
      </w:r>
      <w:r w:rsidR="00B542DE">
        <w:t xml:space="preserve"> able to</w:t>
      </w:r>
      <w:r w:rsidR="00FB5CAA">
        <w:t xml:space="preserve"> predict the global displacements and rotations of the floaters</w:t>
      </w:r>
      <w:r w:rsidR="00BE0A53">
        <w:t xml:space="preserve"> is an important part for the design of floating solar farms.</w:t>
      </w:r>
    </w:p>
    <w:p w14:paraId="38FE351E" w14:textId="6C53DEFE" w:rsidR="00FB5CAA" w:rsidRDefault="00FB5CAA" w:rsidP="00E7266A">
      <w:pPr>
        <w:pStyle w:val="IEEEParagraph"/>
      </w:pPr>
    </w:p>
    <w:p w14:paraId="6CDC14A9" w14:textId="7D1C064A" w:rsidR="0079672F" w:rsidRDefault="0079672F" w:rsidP="00E7266A">
      <w:pPr>
        <w:pStyle w:val="IEEEParagraph"/>
      </w:pPr>
      <w:r>
        <w:t>The generic solution currently being used for floating solar</w:t>
      </w:r>
      <w:r w:rsidR="006E39D2">
        <w:t xml:space="preserve"> mooring design is based on analytical calculations, based on standards such as </w:t>
      </w:r>
      <w:r w:rsidR="006E39D2">
        <w:fldChar w:fldCharType="begin"/>
      </w:r>
      <w:r w:rsidR="006E39D2">
        <w:instrText xml:space="preserve"> REF _Ref31385728 \r \h </w:instrText>
      </w:r>
      <w:r w:rsidR="006E39D2">
        <w:fldChar w:fldCharType="separate"/>
      </w:r>
      <w:r w:rsidR="006E39D2">
        <w:t>[1]</w:t>
      </w:r>
      <w:r w:rsidR="006E39D2">
        <w:fldChar w:fldCharType="end"/>
      </w:r>
      <w:r w:rsidR="006E39D2">
        <w:t xml:space="preserve">, </w:t>
      </w:r>
      <w:r w:rsidR="006E39D2">
        <w:fldChar w:fldCharType="begin"/>
      </w:r>
      <w:r w:rsidR="006E39D2">
        <w:instrText xml:space="preserve"> REF _Ref31385730 \r \h </w:instrText>
      </w:r>
      <w:r w:rsidR="006E39D2">
        <w:fldChar w:fldCharType="separate"/>
      </w:r>
      <w:r w:rsidR="006E39D2">
        <w:t>[2]</w:t>
      </w:r>
      <w:r w:rsidR="006E39D2">
        <w:fldChar w:fldCharType="end"/>
      </w:r>
      <w:r w:rsidR="006E39D2">
        <w:t xml:space="preserve"> and </w:t>
      </w:r>
      <w:r w:rsidR="006E39D2">
        <w:fldChar w:fldCharType="begin"/>
      </w:r>
      <w:r w:rsidR="006E39D2">
        <w:instrText xml:space="preserve"> REF _Ref31385958 \r \h </w:instrText>
      </w:r>
      <w:r w:rsidR="006E39D2">
        <w:fldChar w:fldCharType="separate"/>
      </w:r>
      <w:r w:rsidR="006E39D2">
        <w:t>[3]</w:t>
      </w:r>
      <w:r w:rsidR="006E39D2">
        <w:fldChar w:fldCharType="end"/>
      </w:r>
      <w:r w:rsidR="006E39D2">
        <w:t xml:space="preserve">. General recommendations for mooring design, construction and maintenance are made in </w:t>
      </w:r>
      <w:r w:rsidR="006E39D2">
        <w:fldChar w:fldCharType="begin"/>
      </w:r>
      <w:r w:rsidR="006E39D2">
        <w:instrText xml:space="preserve"> REF _Ref31386049 \r \h </w:instrText>
      </w:r>
      <w:r w:rsidR="006E39D2">
        <w:fldChar w:fldCharType="separate"/>
      </w:r>
      <w:r w:rsidR="006E39D2">
        <w:t>[4]</w:t>
      </w:r>
      <w:r w:rsidR="006E39D2">
        <w:fldChar w:fldCharType="end"/>
      </w:r>
      <w:r w:rsidR="006E39D2">
        <w:t xml:space="preserve">. Nevertheless, recent events such as the </w:t>
      </w:r>
      <w:proofErr w:type="spellStart"/>
      <w:r w:rsidR="006E39D2">
        <w:t>Yamakura</w:t>
      </w:r>
      <w:proofErr w:type="spellEnd"/>
      <w:r w:rsidR="006E39D2">
        <w:t xml:space="preserve"> dam incident – hit by typhoon </w:t>
      </w:r>
      <w:proofErr w:type="spellStart"/>
      <w:r w:rsidR="006E39D2">
        <w:t>Faxai</w:t>
      </w:r>
      <w:proofErr w:type="spellEnd"/>
      <w:r w:rsidR="006E39D2">
        <w:t xml:space="preserve"> </w:t>
      </w:r>
      <w:r w:rsidR="009C0A7D">
        <w:t xml:space="preserve">in September 2019 </w:t>
      </w:r>
      <w:r w:rsidR="006E39D2">
        <w:t xml:space="preserve">– have severely impacted the image of the whole sector. Therefore, a major </w:t>
      </w:r>
      <w:r w:rsidR="009C0A7D">
        <w:t>focus has recently been made on the reliability and on our capability to more accurately model the behaviour of large floating solar farms.</w:t>
      </w:r>
    </w:p>
    <w:p w14:paraId="03C16AA5" w14:textId="77777777" w:rsidR="0079672F" w:rsidRDefault="0079672F" w:rsidP="00E7266A">
      <w:pPr>
        <w:pStyle w:val="IEEEParagraph"/>
      </w:pPr>
    </w:p>
    <w:p w14:paraId="689E9E92" w14:textId="6F770599" w:rsidR="00D45241" w:rsidRDefault="00C777F8" w:rsidP="00E7266A">
      <w:pPr>
        <w:pStyle w:val="IEEEParagraph"/>
      </w:pPr>
      <w:r>
        <w:t>In the state-of-the-art, t</w:t>
      </w:r>
      <w:r w:rsidR="00D45241">
        <w:t>wo different kind</w:t>
      </w:r>
      <w:r w:rsidR="00023498">
        <w:t>s</w:t>
      </w:r>
      <w:r w:rsidR="00D45241">
        <w:t xml:space="preserve"> of </w:t>
      </w:r>
      <w:r w:rsidR="0079672F">
        <w:t xml:space="preserve">numerical </w:t>
      </w:r>
      <w:r w:rsidR="00D45241">
        <w:t>methods have been identified. The first technique</w:t>
      </w:r>
      <w:r w:rsidR="00023498">
        <w:t xml:space="preserve"> is based on the multi-body approach which</w:t>
      </w:r>
      <w:r w:rsidR="00D45241">
        <w:t xml:space="preserve"> implies modelling each floater individuall</w:t>
      </w:r>
      <w:r w:rsidR="00023498">
        <w:t>y and the connections between them. This approach is time consuming as it requires handling multiple elements but appears to be the most realistic</w:t>
      </w:r>
      <w:r w:rsidR="004112E5">
        <w:t xml:space="preserve"> for small scale arrays</w:t>
      </w:r>
      <w:r w:rsidR="00023498">
        <w:t xml:space="preserve">. The other method implies modelling the entire farm as an equivalent flexible plate. This enables faster calculations due to the reduced number of elements but requires finding the correct material coefficients that will properly represent the set of floaters. In both cases, the loads on the floater array </w:t>
      </w:r>
      <w:r w:rsidR="004112E5">
        <w:t>may</w:t>
      </w:r>
      <w:r w:rsidR="00023498">
        <w:t xml:space="preserve"> be estimated and the displacements deduced.</w:t>
      </w:r>
    </w:p>
    <w:p w14:paraId="441EB75E" w14:textId="696D71E1" w:rsidR="00C777F8" w:rsidRDefault="00C777F8" w:rsidP="00E7266A">
      <w:pPr>
        <w:pStyle w:val="IEEEParagraph"/>
      </w:pPr>
    </w:p>
    <w:p w14:paraId="26B6B1B0" w14:textId="49CB6476" w:rsidR="00C777F8" w:rsidRDefault="00C777F8" w:rsidP="00E7266A">
      <w:pPr>
        <w:pStyle w:val="IEEEParagraph"/>
      </w:pPr>
    </w:p>
    <w:p w14:paraId="1AD9CD33" w14:textId="2139A29B" w:rsidR="00C777F8" w:rsidRDefault="00C777F8" w:rsidP="00E7266A">
      <w:pPr>
        <w:pStyle w:val="IEEEParagraph"/>
      </w:pPr>
      <w:r>
        <w:t>The aim of this state-of-the-art is to compare both approaches in order to more accurately model the behaviour of floating solar PV farm, within a realistic and achievable computing time.</w:t>
      </w:r>
    </w:p>
    <w:p w14:paraId="2AE1B7C2" w14:textId="305356AF" w:rsidR="0079672F" w:rsidRDefault="0079672F" w:rsidP="00E7266A">
      <w:pPr>
        <w:pStyle w:val="IEEEParagraph"/>
      </w:pPr>
    </w:p>
    <w:p w14:paraId="763B3BB4" w14:textId="77777777" w:rsidR="00C777F8" w:rsidRDefault="0079672F" w:rsidP="00C777F8">
      <w:pPr>
        <w:pStyle w:val="IEEEParagraph"/>
        <w:keepNext/>
      </w:pPr>
      <w:r w:rsidRPr="0079672F">
        <w:drawing>
          <wp:inline distT="0" distB="0" distL="0" distR="0" wp14:anchorId="7A1C5E3B" wp14:editId="2D57F459">
            <wp:extent cx="3087858" cy="1441450"/>
            <wp:effectExtent l="0" t="0" r="0" b="6350"/>
            <wp:docPr id="4" name="Image 3">
              <a:extLst xmlns:a="http://schemas.openxmlformats.org/drawingml/2006/main">
                <a:ext uri="{FF2B5EF4-FFF2-40B4-BE49-F238E27FC236}">
                  <a16:creationId xmlns:a16="http://schemas.microsoft.com/office/drawing/2014/main" id="{CE2E72E6-CF40-434A-A7A1-CBF119246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CE2E72E6-CF40-434A-A7A1-CBF11924693B}"/>
                        </a:ext>
                      </a:extLst>
                    </pic:cNvPr>
                    <pic:cNvPicPr>
                      <a:picLocks noChangeAspect="1"/>
                    </pic:cNvPicPr>
                  </pic:nvPicPr>
                  <pic:blipFill rotWithShape="1">
                    <a:blip r:embed="rId10"/>
                    <a:srcRect r="-94"/>
                    <a:stretch/>
                  </pic:blipFill>
                  <pic:spPr bwMode="auto">
                    <a:xfrm>
                      <a:off x="0" y="0"/>
                      <a:ext cx="3100398" cy="1447304"/>
                    </a:xfrm>
                    <a:prstGeom prst="rect">
                      <a:avLst/>
                    </a:prstGeom>
                    <a:ln>
                      <a:noFill/>
                    </a:ln>
                    <a:extLst>
                      <a:ext uri="{53640926-AAD7-44D8-BBD7-CCE9431645EC}">
                        <a14:shadowObscured xmlns:a14="http://schemas.microsoft.com/office/drawing/2010/main"/>
                      </a:ext>
                    </a:extLst>
                  </pic:spPr>
                </pic:pic>
              </a:graphicData>
            </a:graphic>
          </wp:inline>
        </w:drawing>
      </w:r>
    </w:p>
    <w:p w14:paraId="08313CD0" w14:textId="6D4B4FA1" w:rsidR="0079672F" w:rsidRPr="00C777F8" w:rsidRDefault="00C777F8" w:rsidP="00C777F8">
      <w:pPr>
        <w:pStyle w:val="Lgende"/>
        <w:jc w:val="center"/>
        <w:rPr>
          <w:b w:val="0"/>
          <w:bCs w:val="0"/>
          <w:sz w:val="16"/>
          <w:szCs w:val="16"/>
        </w:rPr>
      </w:pPr>
      <w:r w:rsidRPr="00C777F8">
        <w:rPr>
          <w:b w:val="0"/>
          <w:bCs w:val="0"/>
          <w:sz w:val="16"/>
          <w:szCs w:val="16"/>
        </w:rPr>
        <w:t xml:space="preserve">Figure </w:t>
      </w:r>
      <w:r w:rsidRPr="00C777F8">
        <w:rPr>
          <w:b w:val="0"/>
          <w:bCs w:val="0"/>
          <w:sz w:val="16"/>
          <w:szCs w:val="16"/>
        </w:rPr>
        <w:fldChar w:fldCharType="begin"/>
      </w:r>
      <w:r w:rsidRPr="00C777F8">
        <w:rPr>
          <w:b w:val="0"/>
          <w:bCs w:val="0"/>
          <w:sz w:val="16"/>
          <w:szCs w:val="16"/>
        </w:rPr>
        <w:instrText xml:space="preserve"> SEQ Figure \* ARABIC </w:instrText>
      </w:r>
      <w:r w:rsidRPr="00C777F8">
        <w:rPr>
          <w:b w:val="0"/>
          <w:bCs w:val="0"/>
          <w:sz w:val="16"/>
          <w:szCs w:val="16"/>
        </w:rPr>
        <w:fldChar w:fldCharType="separate"/>
      </w:r>
      <w:r>
        <w:rPr>
          <w:b w:val="0"/>
          <w:bCs w:val="0"/>
          <w:noProof/>
          <w:sz w:val="16"/>
          <w:szCs w:val="16"/>
        </w:rPr>
        <w:t>1</w:t>
      </w:r>
      <w:r w:rsidRPr="00C777F8">
        <w:rPr>
          <w:b w:val="0"/>
          <w:bCs w:val="0"/>
          <w:sz w:val="16"/>
          <w:szCs w:val="16"/>
        </w:rPr>
        <w:fldChar w:fldCharType="end"/>
      </w:r>
      <w:r w:rsidRPr="00C777F8">
        <w:rPr>
          <w:b w:val="0"/>
          <w:bCs w:val="0"/>
          <w:sz w:val="16"/>
          <w:szCs w:val="16"/>
        </w:rPr>
        <w:t xml:space="preserve"> Example of a multi-body approach for floating solar PV modelling</w:t>
      </w:r>
    </w:p>
    <w:p w14:paraId="31D8363A" w14:textId="19D9C0C8" w:rsidR="0079672F" w:rsidRDefault="0079672F" w:rsidP="00E7266A">
      <w:pPr>
        <w:pStyle w:val="IEEEParagraph"/>
      </w:pPr>
    </w:p>
    <w:p w14:paraId="72E1296A" w14:textId="77777777" w:rsidR="00C777F8" w:rsidRDefault="0079672F" w:rsidP="00C777F8">
      <w:pPr>
        <w:pStyle w:val="IEEEParagraph"/>
        <w:keepNext/>
      </w:pPr>
      <w:r>
        <w:rPr>
          <w:noProof/>
        </w:rPr>
        <w:drawing>
          <wp:inline distT="0" distB="0" distL="0" distR="0" wp14:anchorId="16920152" wp14:editId="5C3C9AB0">
            <wp:extent cx="3189605" cy="21875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9605" cy="2187575"/>
                    </a:xfrm>
                    <a:prstGeom prst="rect">
                      <a:avLst/>
                    </a:prstGeom>
                  </pic:spPr>
                </pic:pic>
              </a:graphicData>
            </a:graphic>
          </wp:inline>
        </w:drawing>
      </w:r>
    </w:p>
    <w:p w14:paraId="51C5702D" w14:textId="0069A1F6" w:rsidR="0079672F" w:rsidRPr="00C777F8" w:rsidRDefault="00C777F8" w:rsidP="00C777F8">
      <w:pPr>
        <w:pStyle w:val="Lgende"/>
        <w:jc w:val="center"/>
        <w:rPr>
          <w:b w:val="0"/>
          <w:bCs w:val="0"/>
          <w:sz w:val="16"/>
          <w:szCs w:val="16"/>
        </w:rPr>
      </w:pPr>
      <w:r w:rsidRPr="00C777F8">
        <w:rPr>
          <w:b w:val="0"/>
          <w:bCs w:val="0"/>
          <w:sz w:val="16"/>
          <w:szCs w:val="16"/>
        </w:rPr>
        <w:t xml:space="preserve">Figure </w:t>
      </w:r>
      <w:r w:rsidRPr="00C777F8">
        <w:rPr>
          <w:b w:val="0"/>
          <w:bCs w:val="0"/>
          <w:sz w:val="16"/>
          <w:szCs w:val="16"/>
        </w:rPr>
        <w:fldChar w:fldCharType="begin"/>
      </w:r>
      <w:r w:rsidRPr="00C777F8">
        <w:rPr>
          <w:b w:val="0"/>
          <w:bCs w:val="0"/>
          <w:sz w:val="16"/>
          <w:szCs w:val="16"/>
        </w:rPr>
        <w:instrText xml:space="preserve"> SEQ Figure \* ARABIC </w:instrText>
      </w:r>
      <w:r w:rsidRPr="00C777F8">
        <w:rPr>
          <w:b w:val="0"/>
          <w:bCs w:val="0"/>
          <w:sz w:val="16"/>
          <w:szCs w:val="16"/>
        </w:rPr>
        <w:fldChar w:fldCharType="separate"/>
      </w:r>
      <w:r w:rsidRPr="00C777F8">
        <w:rPr>
          <w:b w:val="0"/>
          <w:bCs w:val="0"/>
          <w:noProof/>
          <w:sz w:val="16"/>
          <w:szCs w:val="16"/>
        </w:rPr>
        <w:t>2</w:t>
      </w:r>
      <w:r w:rsidRPr="00C777F8">
        <w:rPr>
          <w:b w:val="0"/>
          <w:bCs w:val="0"/>
          <w:sz w:val="16"/>
          <w:szCs w:val="16"/>
        </w:rPr>
        <w:fldChar w:fldCharType="end"/>
      </w:r>
      <w:r w:rsidRPr="00C777F8">
        <w:rPr>
          <w:b w:val="0"/>
          <w:bCs w:val="0"/>
          <w:sz w:val="16"/>
          <w:szCs w:val="16"/>
        </w:rPr>
        <w:t xml:space="preserve"> Example of flexible plate vibration modes</w:t>
      </w:r>
    </w:p>
    <w:p w14:paraId="47857151" w14:textId="77777777" w:rsidR="001928FB" w:rsidRDefault="001928FB" w:rsidP="0094063F">
      <w:pPr>
        <w:pStyle w:val="IEEEHeading1"/>
        <w:numPr>
          <w:ilvl w:val="0"/>
          <w:numId w:val="0"/>
        </w:numPr>
        <w:outlineLvl w:val="0"/>
      </w:pPr>
      <w:r>
        <w:t>References</w:t>
      </w:r>
    </w:p>
    <w:p w14:paraId="7E6E8B3D" w14:textId="77777777" w:rsidR="0079672F" w:rsidRDefault="0079672F" w:rsidP="00AC4971">
      <w:pPr>
        <w:pStyle w:val="IEEEReferenceItem"/>
        <w:numPr>
          <w:ilvl w:val="0"/>
          <w:numId w:val="6"/>
        </w:numPr>
      </w:pPr>
      <w:bookmarkStart w:id="1" w:name="_Ref31385728"/>
      <w:r w:rsidRPr="0079672F">
        <w:t>Offshore Standard DNV-OS-C205, Environmental conditions and environmental loads, DET NORSKE VERITAS. 2010.</w:t>
      </w:r>
      <w:bookmarkEnd w:id="1"/>
    </w:p>
    <w:p w14:paraId="71E09306" w14:textId="77777777" w:rsidR="0079672F" w:rsidRDefault="0079672F" w:rsidP="00AC4971">
      <w:pPr>
        <w:pStyle w:val="IEEEReferenceItem"/>
        <w:numPr>
          <w:ilvl w:val="0"/>
          <w:numId w:val="6"/>
        </w:numPr>
      </w:pPr>
      <w:bookmarkStart w:id="2" w:name="_Ref31385730"/>
      <w:r w:rsidRPr="0079672F">
        <w:t>EN 1991-1.4. Eurocode 1: Actions on structures, general actions. Part 1-4 Wind actions.</w:t>
      </w:r>
      <w:r>
        <w:t xml:space="preserve"> EUROCODE. 2010.</w:t>
      </w:r>
      <w:bookmarkEnd w:id="2"/>
    </w:p>
    <w:p w14:paraId="4A276F48" w14:textId="575917FA" w:rsidR="006E39D2" w:rsidRDefault="006E39D2" w:rsidP="00AC4971">
      <w:pPr>
        <w:pStyle w:val="IEEEReferenceItem"/>
        <w:numPr>
          <w:ilvl w:val="0"/>
          <w:numId w:val="6"/>
        </w:numPr>
      </w:pPr>
      <w:bookmarkStart w:id="3" w:name="_Ref31385958"/>
      <w:r w:rsidRPr="006E39D2">
        <w:t>ASCE. 2010. Minimum Design Loads for Buildings and Other Structures. ASCE/SEI Standard 7-10.</w:t>
      </w:r>
      <w:bookmarkEnd w:id="3"/>
    </w:p>
    <w:p w14:paraId="6794B317" w14:textId="20303E6C" w:rsidR="006E39D2" w:rsidRDefault="006E39D2" w:rsidP="00AC4971">
      <w:pPr>
        <w:pStyle w:val="IEEEReferenceItem"/>
        <w:numPr>
          <w:ilvl w:val="0"/>
          <w:numId w:val="6"/>
        </w:numPr>
      </w:pPr>
      <w:bookmarkStart w:id="4" w:name="_Ref31386049"/>
      <w:r>
        <w:t xml:space="preserve">Energy Sector Management Assistance Program; Solar Energy Research Institute of Singapore. 2019. </w:t>
      </w:r>
      <w:r>
        <w:rPr>
          <w:rStyle w:val="italic"/>
        </w:rPr>
        <w:t xml:space="preserve">Where Sun Meets </w:t>
      </w:r>
      <w:proofErr w:type="gramStart"/>
      <w:r>
        <w:rPr>
          <w:rStyle w:val="italic"/>
        </w:rPr>
        <w:t>Water :</w:t>
      </w:r>
      <w:proofErr w:type="gramEnd"/>
      <w:r>
        <w:rPr>
          <w:rStyle w:val="italic"/>
        </w:rPr>
        <w:t xml:space="preserve"> Floating Solar Handbook for Practitioners</w:t>
      </w:r>
      <w:r>
        <w:t>. World Bank, Washington, DC. © World Bank. https://openknowledge.worldbank.org/handle/10986/32804 License: CC BY 3.0 IGO.</w:t>
      </w:r>
      <w:bookmarkEnd w:id="4"/>
    </w:p>
    <w:p w14:paraId="42846B3E" w14:textId="63FBA010" w:rsidR="00877D4C" w:rsidRPr="0003296C" w:rsidRDefault="004E5BD1" w:rsidP="004E5BD1">
      <w:pPr>
        <w:pStyle w:val="Bibliographie"/>
        <w:ind w:left="720" w:hanging="720"/>
      </w:pPr>
      <w:r>
        <w:fldChar w:fldCharType="begin"/>
      </w:r>
      <w:r>
        <w:rPr>
          <w:lang w:val="fr-FR"/>
        </w:rPr>
        <w:instrText xml:space="preserve"> BIBLIOGRAPHY  \l 1036 </w:instrText>
      </w:r>
      <w:r>
        <w:fldChar w:fldCharType="end"/>
      </w:r>
    </w:p>
    <w:sectPr w:rsidR="00877D4C" w:rsidRPr="0003296C" w:rsidSect="00E06664">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F76B86"/>
    <w:multiLevelType w:val="hybridMultilevel"/>
    <w:tmpl w:val="A7981048"/>
    <w:lvl w:ilvl="0" w:tplc="A6A6D8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B"/>
    <w:rsid w:val="000002E1"/>
    <w:rsid w:val="00017719"/>
    <w:rsid w:val="00023498"/>
    <w:rsid w:val="00027F1D"/>
    <w:rsid w:val="0003296C"/>
    <w:rsid w:val="00054421"/>
    <w:rsid w:val="00062E46"/>
    <w:rsid w:val="00074AC8"/>
    <w:rsid w:val="00081408"/>
    <w:rsid w:val="00081EBE"/>
    <w:rsid w:val="00086EDC"/>
    <w:rsid w:val="000B36A3"/>
    <w:rsid w:val="000C013C"/>
    <w:rsid w:val="000E3F84"/>
    <w:rsid w:val="001056DF"/>
    <w:rsid w:val="00114025"/>
    <w:rsid w:val="001160D2"/>
    <w:rsid w:val="001348A5"/>
    <w:rsid w:val="00144375"/>
    <w:rsid w:val="00150C79"/>
    <w:rsid w:val="00151B8E"/>
    <w:rsid w:val="00156917"/>
    <w:rsid w:val="001739C6"/>
    <w:rsid w:val="00177B9B"/>
    <w:rsid w:val="00182170"/>
    <w:rsid w:val="001928FB"/>
    <w:rsid w:val="00192BC7"/>
    <w:rsid w:val="001A50EA"/>
    <w:rsid w:val="001D35A9"/>
    <w:rsid w:val="001F16CD"/>
    <w:rsid w:val="001F47D2"/>
    <w:rsid w:val="0022285A"/>
    <w:rsid w:val="00224C61"/>
    <w:rsid w:val="00231606"/>
    <w:rsid w:val="00271D30"/>
    <w:rsid w:val="0027227B"/>
    <w:rsid w:val="00273AC7"/>
    <w:rsid w:val="00273D2C"/>
    <w:rsid w:val="00285ECD"/>
    <w:rsid w:val="00290E1B"/>
    <w:rsid w:val="00291B17"/>
    <w:rsid w:val="002A6742"/>
    <w:rsid w:val="002B0DBD"/>
    <w:rsid w:val="002C1A7F"/>
    <w:rsid w:val="002C4239"/>
    <w:rsid w:val="002C559D"/>
    <w:rsid w:val="002D2D42"/>
    <w:rsid w:val="002F72D0"/>
    <w:rsid w:val="003003AB"/>
    <w:rsid w:val="00311C49"/>
    <w:rsid w:val="0032119E"/>
    <w:rsid w:val="00321304"/>
    <w:rsid w:val="00330DE6"/>
    <w:rsid w:val="00331F84"/>
    <w:rsid w:val="003337AD"/>
    <w:rsid w:val="003446B6"/>
    <w:rsid w:val="00375657"/>
    <w:rsid w:val="003950A4"/>
    <w:rsid w:val="003C6356"/>
    <w:rsid w:val="003E3577"/>
    <w:rsid w:val="003E6E38"/>
    <w:rsid w:val="003F3A61"/>
    <w:rsid w:val="00410A5D"/>
    <w:rsid w:val="004112E5"/>
    <w:rsid w:val="00414909"/>
    <w:rsid w:val="00425A6A"/>
    <w:rsid w:val="00426FBB"/>
    <w:rsid w:val="004332B1"/>
    <w:rsid w:val="00434F79"/>
    <w:rsid w:val="0047429A"/>
    <w:rsid w:val="0048374C"/>
    <w:rsid w:val="0048771D"/>
    <w:rsid w:val="004A6605"/>
    <w:rsid w:val="004C45FA"/>
    <w:rsid w:val="004D3C35"/>
    <w:rsid w:val="004E1BD8"/>
    <w:rsid w:val="004E452A"/>
    <w:rsid w:val="004E5BD1"/>
    <w:rsid w:val="004E78E3"/>
    <w:rsid w:val="004F02C6"/>
    <w:rsid w:val="005004BF"/>
    <w:rsid w:val="00502E89"/>
    <w:rsid w:val="00510E95"/>
    <w:rsid w:val="00527D56"/>
    <w:rsid w:val="0053221F"/>
    <w:rsid w:val="00536FAE"/>
    <w:rsid w:val="00542C85"/>
    <w:rsid w:val="00552519"/>
    <w:rsid w:val="00553510"/>
    <w:rsid w:val="00554186"/>
    <w:rsid w:val="00585769"/>
    <w:rsid w:val="00591130"/>
    <w:rsid w:val="005A3F28"/>
    <w:rsid w:val="005A40BE"/>
    <w:rsid w:val="005B13E2"/>
    <w:rsid w:val="005B47D7"/>
    <w:rsid w:val="005C5526"/>
    <w:rsid w:val="005C62C6"/>
    <w:rsid w:val="005D7B9E"/>
    <w:rsid w:val="005F0834"/>
    <w:rsid w:val="005F6DC3"/>
    <w:rsid w:val="005F7A60"/>
    <w:rsid w:val="0060138D"/>
    <w:rsid w:val="00601A8E"/>
    <w:rsid w:val="0062033E"/>
    <w:rsid w:val="00624482"/>
    <w:rsid w:val="0064799C"/>
    <w:rsid w:val="00654156"/>
    <w:rsid w:val="006B47CA"/>
    <w:rsid w:val="006C7AAA"/>
    <w:rsid w:val="006D179B"/>
    <w:rsid w:val="006D1C2A"/>
    <w:rsid w:val="006D264F"/>
    <w:rsid w:val="006E2A8D"/>
    <w:rsid w:val="006E39D2"/>
    <w:rsid w:val="006E7574"/>
    <w:rsid w:val="007004AC"/>
    <w:rsid w:val="00703430"/>
    <w:rsid w:val="007069BE"/>
    <w:rsid w:val="00745C86"/>
    <w:rsid w:val="00764603"/>
    <w:rsid w:val="0076604D"/>
    <w:rsid w:val="00790909"/>
    <w:rsid w:val="0079672F"/>
    <w:rsid w:val="007B33B9"/>
    <w:rsid w:val="007B5A07"/>
    <w:rsid w:val="007D3E71"/>
    <w:rsid w:val="007E5D6A"/>
    <w:rsid w:val="007E645D"/>
    <w:rsid w:val="007F75CA"/>
    <w:rsid w:val="008116BC"/>
    <w:rsid w:val="00821E08"/>
    <w:rsid w:val="00834EFD"/>
    <w:rsid w:val="00844B24"/>
    <w:rsid w:val="0084515F"/>
    <w:rsid w:val="0085092D"/>
    <w:rsid w:val="00853F86"/>
    <w:rsid w:val="00877D4C"/>
    <w:rsid w:val="0088322F"/>
    <w:rsid w:val="00883903"/>
    <w:rsid w:val="0089763B"/>
    <w:rsid w:val="008B6AE3"/>
    <w:rsid w:val="008D1045"/>
    <w:rsid w:val="008E5996"/>
    <w:rsid w:val="00901AE1"/>
    <w:rsid w:val="009039C7"/>
    <w:rsid w:val="009205B4"/>
    <w:rsid w:val="009211B2"/>
    <w:rsid w:val="0094063F"/>
    <w:rsid w:val="00955B59"/>
    <w:rsid w:val="009576DE"/>
    <w:rsid w:val="00992262"/>
    <w:rsid w:val="009926BC"/>
    <w:rsid w:val="009A4319"/>
    <w:rsid w:val="009A6C3F"/>
    <w:rsid w:val="009B03FC"/>
    <w:rsid w:val="009B73F2"/>
    <w:rsid w:val="009C0A7D"/>
    <w:rsid w:val="009C12BD"/>
    <w:rsid w:val="009C50FE"/>
    <w:rsid w:val="009D74C0"/>
    <w:rsid w:val="009E63B7"/>
    <w:rsid w:val="009F0CB6"/>
    <w:rsid w:val="00A03E75"/>
    <w:rsid w:val="00A05A31"/>
    <w:rsid w:val="00A32BFA"/>
    <w:rsid w:val="00A45FCE"/>
    <w:rsid w:val="00A57BA9"/>
    <w:rsid w:val="00A75671"/>
    <w:rsid w:val="00A773CC"/>
    <w:rsid w:val="00A9318B"/>
    <w:rsid w:val="00A94AC1"/>
    <w:rsid w:val="00AA33A1"/>
    <w:rsid w:val="00AA4EAE"/>
    <w:rsid w:val="00AB18B7"/>
    <w:rsid w:val="00AC4971"/>
    <w:rsid w:val="00AC60F4"/>
    <w:rsid w:val="00AD1635"/>
    <w:rsid w:val="00AD335D"/>
    <w:rsid w:val="00AF792B"/>
    <w:rsid w:val="00B542DE"/>
    <w:rsid w:val="00B55D5E"/>
    <w:rsid w:val="00B94516"/>
    <w:rsid w:val="00BB2855"/>
    <w:rsid w:val="00BC3E35"/>
    <w:rsid w:val="00BD19C1"/>
    <w:rsid w:val="00BD25B8"/>
    <w:rsid w:val="00BE0A53"/>
    <w:rsid w:val="00C012E1"/>
    <w:rsid w:val="00C06BB4"/>
    <w:rsid w:val="00C10D20"/>
    <w:rsid w:val="00C12E0C"/>
    <w:rsid w:val="00C21916"/>
    <w:rsid w:val="00C457CA"/>
    <w:rsid w:val="00C57FB7"/>
    <w:rsid w:val="00C65F3F"/>
    <w:rsid w:val="00C72414"/>
    <w:rsid w:val="00C777F8"/>
    <w:rsid w:val="00C8667B"/>
    <w:rsid w:val="00C879A1"/>
    <w:rsid w:val="00CA4CE3"/>
    <w:rsid w:val="00CC24CA"/>
    <w:rsid w:val="00CD4F3F"/>
    <w:rsid w:val="00D311F8"/>
    <w:rsid w:val="00D36B52"/>
    <w:rsid w:val="00D377C8"/>
    <w:rsid w:val="00D41274"/>
    <w:rsid w:val="00D43BF3"/>
    <w:rsid w:val="00D45241"/>
    <w:rsid w:val="00D75D38"/>
    <w:rsid w:val="00D767BB"/>
    <w:rsid w:val="00D939B0"/>
    <w:rsid w:val="00D94A3A"/>
    <w:rsid w:val="00DB16E0"/>
    <w:rsid w:val="00DB2DF9"/>
    <w:rsid w:val="00DB7E63"/>
    <w:rsid w:val="00DC2055"/>
    <w:rsid w:val="00DD71E8"/>
    <w:rsid w:val="00DD7F83"/>
    <w:rsid w:val="00E0641E"/>
    <w:rsid w:val="00E06664"/>
    <w:rsid w:val="00E17D93"/>
    <w:rsid w:val="00E304BC"/>
    <w:rsid w:val="00E32853"/>
    <w:rsid w:val="00E401F8"/>
    <w:rsid w:val="00E46425"/>
    <w:rsid w:val="00E47D0E"/>
    <w:rsid w:val="00E65018"/>
    <w:rsid w:val="00E7266A"/>
    <w:rsid w:val="00E858AE"/>
    <w:rsid w:val="00E94339"/>
    <w:rsid w:val="00E97563"/>
    <w:rsid w:val="00EB0B63"/>
    <w:rsid w:val="00EC265C"/>
    <w:rsid w:val="00EC7866"/>
    <w:rsid w:val="00ED61CB"/>
    <w:rsid w:val="00F06A72"/>
    <w:rsid w:val="00F136F0"/>
    <w:rsid w:val="00F17D1F"/>
    <w:rsid w:val="00F20BBB"/>
    <w:rsid w:val="00F43BD8"/>
    <w:rsid w:val="00F562F3"/>
    <w:rsid w:val="00F74B89"/>
    <w:rsid w:val="00F75133"/>
    <w:rsid w:val="00FA10BC"/>
    <w:rsid w:val="00FA3899"/>
    <w:rsid w:val="00FA4909"/>
    <w:rsid w:val="00FA6751"/>
    <w:rsid w:val="00FB1048"/>
    <w:rsid w:val="00FB5CAA"/>
    <w:rsid w:val="00FB62C4"/>
    <w:rsid w:val="00FB7701"/>
    <w:rsid w:val="00FD1AC5"/>
    <w:rsid w:val="00FD5CF0"/>
    <w:rsid w:val="00FF6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E666D"/>
  <w15:chartTrackingRefBased/>
  <w15:docId w15:val="{BE532826-638D-4089-94E0-0514854C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2B0DBD"/>
    <w:pPr>
      <w:spacing w:after="60"/>
      <w:jc w:val="center"/>
    </w:pPr>
    <w:rPr>
      <w:rFonts w:eastAsia="Times New Roman"/>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1D35A9"/>
    <w:pPr>
      <w:adjustRightInd w:val="0"/>
      <w:snapToGrid w:val="0"/>
      <w:ind w:firstLine="216"/>
      <w:jc w:val="both"/>
    </w:pPr>
    <w:rPr>
      <w:sz w:val="20"/>
      <w:szCs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Grilledutableau">
    <w:name w:val="Table Grid"/>
    <w:basedOn w:val="Tableau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1D35A9"/>
    <w:rPr>
      <w:lang w:val="en-AU" w:eastAsia="zh-CN"/>
    </w:rPr>
  </w:style>
  <w:style w:type="numbering" w:customStyle="1" w:styleId="IEEEBullet1">
    <w:name w:val="IEEE Bullet 1"/>
    <w:basedOn w:val="Aucuneliste"/>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Explorateurdedocuments">
    <w:name w:val="Document Map"/>
    <w:basedOn w:val="Normal"/>
    <w:link w:val="ExplorateurdedocumentsCar"/>
    <w:uiPriority w:val="99"/>
    <w:semiHidden/>
    <w:unhideWhenUsed/>
    <w:rsid w:val="0094063F"/>
    <w:rPr>
      <w:rFonts w:ascii="Tahoma" w:hAnsi="Tahoma" w:cs="Tahoma"/>
      <w:sz w:val="16"/>
      <w:szCs w:val="16"/>
    </w:rPr>
  </w:style>
  <w:style w:type="character" w:customStyle="1" w:styleId="ExplorateurdedocumentsCar">
    <w:name w:val="Explorateur de documents Car"/>
    <w:link w:val="Explorateurdedocuments"/>
    <w:uiPriority w:val="99"/>
    <w:semiHidden/>
    <w:rsid w:val="0094063F"/>
    <w:rPr>
      <w:rFonts w:ascii="Tahoma" w:hAnsi="Tahoma" w:cs="Tahoma"/>
      <w:sz w:val="16"/>
      <w:szCs w:val="16"/>
      <w:lang w:val="en-AU" w:eastAsia="zh-CN"/>
    </w:rPr>
  </w:style>
  <w:style w:type="character" w:styleId="Lienhypertexte">
    <w:name w:val="Hyperlink"/>
    <w:uiPriority w:val="99"/>
    <w:unhideWhenUsed/>
    <w:rsid w:val="00E7266A"/>
    <w:rPr>
      <w:color w:val="0563C1"/>
      <w:u w:val="single"/>
    </w:rPr>
  </w:style>
  <w:style w:type="character" w:styleId="Mentionnonrsolue">
    <w:name w:val="Unresolved Mention"/>
    <w:basedOn w:val="Policepardfaut"/>
    <w:uiPriority w:val="99"/>
    <w:semiHidden/>
    <w:unhideWhenUsed/>
    <w:rsid w:val="00AA33A1"/>
    <w:rPr>
      <w:color w:val="605E5C"/>
      <w:shd w:val="clear" w:color="auto" w:fill="E1DFDD"/>
    </w:rPr>
  </w:style>
  <w:style w:type="paragraph" w:styleId="Bibliographie">
    <w:name w:val="Bibliography"/>
    <w:basedOn w:val="Normal"/>
    <w:next w:val="Normal"/>
    <w:uiPriority w:val="37"/>
    <w:unhideWhenUsed/>
    <w:rsid w:val="004E5BD1"/>
  </w:style>
  <w:style w:type="paragraph" w:styleId="Textedebulles">
    <w:name w:val="Balloon Text"/>
    <w:basedOn w:val="Normal"/>
    <w:link w:val="TextedebullesCar"/>
    <w:uiPriority w:val="99"/>
    <w:semiHidden/>
    <w:unhideWhenUsed/>
    <w:rsid w:val="007967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672F"/>
    <w:rPr>
      <w:rFonts w:ascii="Segoe UI" w:hAnsi="Segoe UI" w:cs="Segoe UI"/>
      <w:sz w:val="18"/>
      <w:szCs w:val="18"/>
      <w:lang w:val="en-AU" w:eastAsia="zh-CN"/>
    </w:rPr>
  </w:style>
  <w:style w:type="character" w:customStyle="1" w:styleId="italic">
    <w:name w:val="italic"/>
    <w:basedOn w:val="Policepardfaut"/>
    <w:rsid w:val="006E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2772">
      <w:bodyDiv w:val="1"/>
      <w:marLeft w:val="0"/>
      <w:marRight w:val="0"/>
      <w:marTop w:val="0"/>
      <w:marBottom w:val="0"/>
      <w:divBdr>
        <w:top w:val="none" w:sz="0" w:space="0" w:color="auto"/>
        <w:left w:val="none" w:sz="0" w:space="0" w:color="auto"/>
        <w:bottom w:val="none" w:sz="0" w:space="0" w:color="auto"/>
        <w:right w:val="none" w:sz="0" w:space="0" w:color="auto"/>
      </w:divBdr>
    </w:div>
    <w:div w:id="2118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maria.ikhnennicheu@innose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2felix.gorintin@innosea.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benjamin.gendron@innosea.fr"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4mattias.lynch@innos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Pon19</b:Tag>
    <b:SourceType>JournalArticle</b:SourceType>
    <b:Guid>{15A1D26C-1322-4E71-B127-E7FEFE4F1F8C}</b:Guid>
    <b:Title>Study and Evaluation of a Solar Floating Traction under Severe Wind Conditions</b:Title>
    <b:Year>2019</b:Year>
    <b:Author>
      <b:Author>
        <b:NameList>
          <b:Person>
            <b:Last>Siribodhi Pongwit</b:Last>
            <b:First>Phacharaporn</b:First>
            <b:Middle>Bunyawanichakul</b:Middle>
          </b:Person>
        </b:NameList>
      </b:Author>
    </b:Author>
    <b:JournalName>Southeast Asia Workshop on Aerospace Engineering</b:JournalName>
    <b:RefOrder>1</b:RefOrder>
  </b:Source>
</b:Sources>
</file>

<file path=customXml/itemProps1.xml><?xml version="1.0" encoding="utf-8"?>
<ds:datastoreItem xmlns:ds="http://schemas.openxmlformats.org/officeDocument/2006/customXml" ds:itemID="{45647608-EB9D-40AE-BF26-F64CE02B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3254</Characters>
  <Application>Microsoft Office Word</Application>
  <DocSecurity>0</DocSecurity>
  <Lines>27</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IEEE Paper Template in A4 (V1)</vt:lpstr>
      <vt:lpstr>IEEE Paper Template in A4 (V1)</vt:lpstr>
      <vt:lpstr>IEEE Paper Template in A4 (V1)</vt:lpstr>
    </vt:vector>
  </TitlesOfParts>
  <Company>University of Southampton</Company>
  <LinksUpToDate>false</LinksUpToDate>
  <CharactersWithSpaces>3838</CharactersWithSpaces>
  <SharedDoc>false</SharedDoc>
  <HLinks>
    <vt:vector size="6" baseType="variant">
      <vt:variant>
        <vt:i4>1900576</vt:i4>
      </vt:variant>
      <vt:variant>
        <vt:i4>0</vt:i4>
      </vt:variant>
      <vt:variant>
        <vt:i4>0</vt:i4>
      </vt:variant>
      <vt:variant>
        <vt:i4>5</vt:i4>
      </vt:variant>
      <vt:variant>
        <vt:lpwstr>mailto:2felix.gorintin@innosea.fr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Benjamin Gendron</dc:creator>
  <cp:keywords/>
  <cp:lastModifiedBy>Felix Gorintin</cp:lastModifiedBy>
  <cp:revision>2</cp:revision>
  <cp:lastPrinted>2014-09-30T12:28:00Z</cp:lastPrinted>
  <dcterms:created xsi:type="dcterms:W3CDTF">2020-01-31T17:08:00Z</dcterms:created>
  <dcterms:modified xsi:type="dcterms:W3CDTF">2020-01-31T17:08:00Z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ba19c2dd-7814-323e-83bc-8e32591ea88f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