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112E" w14:textId="27F3F346" w:rsidR="006F7539" w:rsidRDefault="00446716" w:rsidP="008F4296">
      <w:pPr>
        <w:spacing w:line="276" w:lineRule="auto"/>
        <w:contextualSpacing/>
        <w:jc w:val="both"/>
        <w:rPr>
          <w:b/>
          <w:bCs/>
        </w:rPr>
      </w:pPr>
      <w:r w:rsidRPr="00447CAB">
        <w:rPr>
          <w:b/>
          <w:bCs/>
        </w:rPr>
        <w:t>Extended Abstract</w:t>
      </w:r>
      <w:r w:rsidR="00A53BFE" w:rsidRPr="00447CAB">
        <w:rPr>
          <w:b/>
          <w:bCs/>
        </w:rPr>
        <w:t xml:space="preserve"> for “A tropical case study quantifying solar irradiance collected on a car roof for vehicle integrated photovoltaics (VIPV) towards low-carbon cities”</w:t>
      </w:r>
    </w:p>
    <w:p w14:paraId="54C89AF9" w14:textId="77777777" w:rsidR="00447CAB" w:rsidRPr="00447CAB" w:rsidRDefault="00447CAB" w:rsidP="008F4296">
      <w:pPr>
        <w:spacing w:line="276" w:lineRule="auto"/>
        <w:contextualSpacing/>
        <w:jc w:val="both"/>
        <w:rPr>
          <w:b/>
          <w:bCs/>
        </w:rPr>
      </w:pPr>
    </w:p>
    <w:p w14:paraId="4B442E87" w14:textId="68C59FC7" w:rsidR="00FC5C80" w:rsidRPr="00447CAB" w:rsidRDefault="00FC5C80" w:rsidP="008F4296">
      <w:pPr>
        <w:spacing w:line="276" w:lineRule="auto"/>
        <w:contextualSpacing/>
        <w:jc w:val="both"/>
        <w:rPr>
          <w:b/>
          <w:bCs/>
        </w:rPr>
      </w:pPr>
      <w:r w:rsidRPr="00447CAB">
        <w:rPr>
          <w:b/>
          <w:bCs/>
        </w:rPr>
        <w:t>1. Brief experimental background</w:t>
      </w:r>
    </w:p>
    <w:p w14:paraId="45DEFED2" w14:textId="70E152E7" w:rsidR="00FF7379" w:rsidRDefault="00FF7379" w:rsidP="008F4296">
      <w:pPr>
        <w:spacing w:line="276" w:lineRule="auto"/>
        <w:contextualSpacing/>
        <w:jc w:val="both"/>
      </w:pPr>
      <w:r w:rsidRPr="00447CAB">
        <w:t>The experiment</w:t>
      </w:r>
      <w:r w:rsidR="00015C7C" w:rsidRPr="00447CAB">
        <w:t xml:space="preserve"> </w:t>
      </w:r>
      <w:r w:rsidR="008F4296">
        <w:t xml:space="preserve">methodology was an adaptation of </w:t>
      </w:r>
      <w:r w:rsidR="00116A61" w:rsidRPr="00447CAB">
        <w:t>Ota et al.</w:t>
      </w:r>
      <w:r w:rsidR="00D440C2" w:rsidRPr="00447CAB">
        <w:t xml:space="preserve"> </w:t>
      </w:r>
      <w:r w:rsidR="00017A09">
        <w:t>that</w:t>
      </w:r>
      <w:r w:rsidR="008F4296">
        <w:t xml:space="preserve"> </w:t>
      </w:r>
      <w:r w:rsidR="008F4296" w:rsidRPr="00447CAB">
        <w:t>involved the installation of a pyranometer on the car roof</w:t>
      </w:r>
      <w:r w:rsidR="00116A61" w:rsidRPr="00447CAB">
        <w:t>.</w:t>
      </w:r>
      <w:r w:rsidR="00017A09" w:rsidRPr="00017A09">
        <w:rPr>
          <w:vertAlign w:val="superscript"/>
        </w:rPr>
        <w:t>1</w:t>
      </w:r>
      <w:r w:rsidR="00C07258" w:rsidRPr="00447CAB">
        <w:t xml:space="preserve"> </w:t>
      </w:r>
      <w:r w:rsidR="009A27B3" w:rsidRPr="00447CAB">
        <w:t>The vehicle travelled a</w:t>
      </w:r>
      <w:r w:rsidR="009A2E34" w:rsidRPr="00447CAB">
        <w:t xml:space="preserve"> pre-determined route </w:t>
      </w:r>
      <w:r w:rsidR="00574046">
        <w:t xml:space="preserve">in a residential estate in Singapore </w:t>
      </w:r>
      <w:r w:rsidRPr="00447CAB">
        <w:t>over a period of six days over three timeslots</w:t>
      </w:r>
      <w:r w:rsidR="00574046">
        <w:t>:</w:t>
      </w:r>
      <w:r w:rsidRPr="00447CAB">
        <w:t xml:space="preserve"> 0800 – 0900, 1230 – 1330</w:t>
      </w:r>
      <w:r w:rsidR="00661430" w:rsidRPr="00447CAB">
        <w:t>,</w:t>
      </w:r>
      <w:r w:rsidRPr="00447CAB">
        <w:t xml:space="preserve"> and 1800 – 1900.</w:t>
      </w:r>
      <w:r w:rsidR="00745BFE" w:rsidRPr="00447CAB">
        <w:t xml:space="preserve"> E</w:t>
      </w:r>
      <w:r w:rsidR="009A2E34" w:rsidRPr="00447CAB">
        <w:t>ach run of the experiment varied between 13 minutes to 18 minutes due to traffic lights, stopping for cars to pass</w:t>
      </w:r>
      <w:r w:rsidR="003721B9" w:rsidRPr="00447CAB">
        <w:t>,</w:t>
      </w:r>
      <w:r w:rsidR="009A2E34" w:rsidRPr="00447CAB">
        <w:t xml:space="preserve"> and waiting in line to enter the carpark.</w:t>
      </w:r>
      <w:r w:rsidR="003721B9" w:rsidRPr="00447CAB">
        <w:t xml:space="preserve"> </w:t>
      </w:r>
      <w:r w:rsidR="00FC5C80" w:rsidRPr="00447CAB">
        <w:t xml:space="preserve">Sky camera images </w:t>
      </w:r>
      <w:r w:rsidRPr="00447CAB">
        <w:t xml:space="preserve">were taken at six pre-determined locations, three </w:t>
      </w:r>
      <w:r w:rsidR="00FC5C80" w:rsidRPr="00447CAB">
        <w:t xml:space="preserve">in </w:t>
      </w:r>
      <w:r w:rsidR="005D7FA0" w:rsidRPr="00447CAB">
        <w:t>r</w:t>
      </w:r>
      <w:r w:rsidR="00661430" w:rsidRPr="00447CAB">
        <w:t>oute A</w:t>
      </w:r>
      <w:r w:rsidR="00FC5C80" w:rsidRPr="00447CAB">
        <w:t xml:space="preserve"> where buildings are located North and South of the vehicle</w:t>
      </w:r>
      <w:r w:rsidR="00661430" w:rsidRPr="00447CAB">
        <w:t>,</w:t>
      </w:r>
      <w:r w:rsidRPr="00447CAB">
        <w:t xml:space="preserve"> and </w:t>
      </w:r>
      <w:r w:rsidR="00FC5C80" w:rsidRPr="00447CAB">
        <w:t xml:space="preserve">another </w:t>
      </w:r>
      <w:r w:rsidRPr="00447CAB">
        <w:t xml:space="preserve">three </w:t>
      </w:r>
      <w:r w:rsidR="00FC5C80" w:rsidRPr="00447CAB">
        <w:t xml:space="preserve">in </w:t>
      </w:r>
      <w:r w:rsidR="005D7FA0" w:rsidRPr="00447CAB">
        <w:t>r</w:t>
      </w:r>
      <w:r w:rsidR="00FC5C80" w:rsidRPr="00447CAB">
        <w:t xml:space="preserve">oute B </w:t>
      </w:r>
      <w:r w:rsidRPr="00447CAB">
        <w:t xml:space="preserve">where buildings </w:t>
      </w:r>
      <w:r w:rsidR="00FC5C80" w:rsidRPr="00447CAB">
        <w:t xml:space="preserve">are located </w:t>
      </w:r>
      <w:r w:rsidRPr="00447CAB">
        <w:t>East and West of the vehicle as seen in Figure</w:t>
      </w:r>
      <w:r w:rsidR="00574046">
        <w:t> </w:t>
      </w:r>
      <w:r w:rsidRPr="00447CAB">
        <w:t xml:space="preserve">1. </w:t>
      </w:r>
    </w:p>
    <w:p w14:paraId="34BD368B" w14:textId="2096D995" w:rsidR="00447CAB" w:rsidRDefault="00447CAB" w:rsidP="008F4296">
      <w:pPr>
        <w:spacing w:line="276" w:lineRule="auto"/>
        <w:contextualSpacing/>
        <w:jc w:val="center"/>
      </w:pPr>
      <w:r w:rsidRPr="00447CAB">
        <w:rPr>
          <w:noProof/>
        </w:rPr>
        <w:drawing>
          <wp:inline distT="0" distB="0" distL="0" distR="0" wp14:anchorId="7BFFDD73" wp14:editId="1F56DDF1">
            <wp:extent cx="5173288" cy="39035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8861" cy="3945450"/>
                    </a:xfrm>
                    <a:prstGeom prst="rect">
                      <a:avLst/>
                    </a:prstGeom>
                    <a:noFill/>
                    <a:ln>
                      <a:noFill/>
                    </a:ln>
                  </pic:spPr>
                </pic:pic>
              </a:graphicData>
            </a:graphic>
          </wp:inline>
        </w:drawing>
      </w:r>
    </w:p>
    <w:p w14:paraId="59DD9331" w14:textId="03452D1D" w:rsidR="008C103C" w:rsidRPr="007F67B9" w:rsidRDefault="00447CAB" w:rsidP="008C103C">
      <w:pPr>
        <w:pStyle w:val="Caption"/>
        <w:contextualSpacing/>
        <w:jc w:val="center"/>
        <w:rPr>
          <w:sz w:val="22"/>
          <w:szCs w:val="22"/>
        </w:rPr>
      </w:pPr>
      <w:r w:rsidRPr="007F67B9">
        <w:rPr>
          <w:sz w:val="22"/>
          <w:szCs w:val="22"/>
        </w:rPr>
        <w:t xml:space="preserve">Figure </w:t>
      </w:r>
      <w:r w:rsidRPr="007F67B9">
        <w:rPr>
          <w:i w:val="0"/>
          <w:iCs w:val="0"/>
          <w:sz w:val="22"/>
          <w:szCs w:val="22"/>
        </w:rPr>
        <w:fldChar w:fldCharType="begin"/>
      </w:r>
      <w:r w:rsidRPr="007F67B9">
        <w:rPr>
          <w:sz w:val="22"/>
          <w:szCs w:val="22"/>
        </w:rPr>
        <w:instrText xml:space="preserve"> SEQ Figure \* ARABIC </w:instrText>
      </w:r>
      <w:r w:rsidRPr="007F67B9">
        <w:rPr>
          <w:i w:val="0"/>
          <w:iCs w:val="0"/>
          <w:sz w:val="22"/>
          <w:szCs w:val="22"/>
        </w:rPr>
        <w:fldChar w:fldCharType="separate"/>
      </w:r>
      <w:r w:rsidRPr="007F67B9">
        <w:rPr>
          <w:noProof/>
          <w:sz w:val="22"/>
          <w:szCs w:val="22"/>
        </w:rPr>
        <w:t>1</w:t>
      </w:r>
      <w:r w:rsidRPr="007F67B9">
        <w:rPr>
          <w:i w:val="0"/>
          <w:iCs w:val="0"/>
          <w:sz w:val="22"/>
          <w:szCs w:val="22"/>
        </w:rPr>
        <w:fldChar w:fldCharType="end"/>
      </w:r>
      <w:r w:rsidRPr="007F67B9">
        <w:rPr>
          <w:sz w:val="22"/>
          <w:szCs w:val="22"/>
        </w:rPr>
        <w:t>: Visual schematic of the six locations where sky camera images were taken. Representative images were taken from the 0800 – 0900 timeslot on 1</w:t>
      </w:r>
      <w:r w:rsidRPr="007F67B9">
        <w:rPr>
          <w:sz w:val="22"/>
          <w:szCs w:val="22"/>
          <w:vertAlign w:val="superscript"/>
        </w:rPr>
        <w:t>st</w:t>
      </w:r>
      <w:r w:rsidR="00574046" w:rsidRPr="007F67B9">
        <w:rPr>
          <w:sz w:val="22"/>
          <w:szCs w:val="22"/>
        </w:rPr>
        <w:t xml:space="preserve"> </w:t>
      </w:r>
      <w:r w:rsidRPr="007F67B9">
        <w:rPr>
          <w:sz w:val="22"/>
          <w:szCs w:val="22"/>
        </w:rPr>
        <w:t>November 2019.</w:t>
      </w:r>
    </w:p>
    <w:p w14:paraId="00B96A27" w14:textId="1BA3115B" w:rsidR="00447CAB" w:rsidRDefault="0064672B" w:rsidP="008C103C">
      <w:pPr>
        <w:pStyle w:val="Caption"/>
        <w:contextualSpacing/>
        <w:jc w:val="center"/>
      </w:pPr>
      <w:r>
        <w:rPr>
          <w:noProof/>
        </w:rPr>
        <w:pict w14:anchorId="0799B685">
          <v:line id="Straight Connector 2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01.95pt,518.55pt" to="301.95pt,5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" strokecolor="#8064a2 [3207]" strokeweight="2pt">
            <v:shadow on="t" color="black" opacity="24903f" origin=",.5" offset="0,.55556mm"/>
            <o:lock v:ext="edit" shapetype="f"/>
          </v:line>
        </w:pict>
      </w:r>
    </w:p>
    <w:p w14:paraId="27F4EA80" w14:textId="591289A5" w:rsidR="00FC5C80" w:rsidRDefault="00FC5C80">
      <w:pPr>
        <w:pStyle w:val="Caption"/>
        <w:contextualSpacing/>
        <w:jc w:val="both"/>
        <w:rPr>
          <w:b/>
          <w:bCs/>
          <w:i w:val="0"/>
          <w:iCs w:val="0"/>
          <w:color w:val="auto"/>
          <w:sz w:val="22"/>
          <w:szCs w:val="22"/>
        </w:rPr>
      </w:pPr>
      <w:r w:rsidRPr="00447CAB">
        <w:rPr>
          <w:b/>
          <w:bCs/>
          <w:i w:val="0"/>
          <w:iCs w:val="0"/>
          <w:color w:val="auto"/>
          <w:sz w:val="22"/>
          <w:szCs w:val="22"/>
        </w:rPr>
        <w:t>2. Results and discussion on irradiance received at various times of the day</w:t>
      </w:r>
    </w:p>
    <w:p w14:paraId="12B3B9EB" w14:textId="401E5B43" w:rsidR="00047EF7" w:rsidRPr="00047EF7" w:rsidRDefault="00047EF7" w:rsidP="008C103C">
      <w:pPr>
        <w:spacing w:line="276" w:lineRule="auto"/>
        <w:rPr>
          <w:b/>
          <w:bCs/>
        </w:rPr>
      </w:pPr>
      <w:r w:rsidRPr="00047EF7">
        <w:rPr>
          <w:b/>
          <w:bCs/>
        </w:rPr>
        <w:t>a) Comparing between time periods</w:t>
      </w:r>
    </w:p>
    <w:p w14:paraId="5F0335F9" w14:textId="4242AB55" w:rsidR="008C103C" w:rsidRDefault="008C103C" w:rsidP="00606EED">
      <w:pPr>
        <w:spacing w:line="276" w:lineRule="auto"/>
        <w:jc w:val="both"/>
      </w:pPr>
      <w:r w:rsidRPr="00447CAB">
        <w:t>Figure 2 presents the irradiance distribution for the three time periods comparing both routes A and B</w:t>
      </w:r>
      <w:r w:rsidR="00047EF7">
        <w:t xml:space="preserve"> for all six days</w:t>
      </w:r>
      <w:r w:rsidRPr="00447CAB">
        <w:t xml:space="preserve">. For both routes, the </w:t>
      </w:r>
      <w:r w:rsidR="00047EF7">
        <w:t xml:space="preserve">range </w:t>
      </w:r>
      <w:r w:rsidRPr="00447CAB">
        <w:t>in solar irradiance received is the largest for the 1230-1330 period</w:t>
      </w:r>
      <w:r w:rsidR="00047EF7">
        <w:t xml:space="preserve"> as compared to the other two</w:t>
      </w:r>
      <w:r w:rsidRPr="00447CAB">
        <w:t xml:space="preserve">. We attribute this to </w:t>
      </w:r>
      <w:r w:rsidR="00047EF7">
        <w:t xml:space="preserve">varying levels of </w:t>
      </w:r>
      <w:r w:rsidRPr="00447CAB">
        <w:t xml:space="preserve">shading </w:t>
      </w:r>
      <w:r w:rsidR="00047EF7">
        <w:t>as the car roof moves from a blocked to unblocked position</w:t>
      </w:r>
      <w:r w:rsidRPr="00447CAB">
        <w:t>. In the 0800-0900 period, the variation is smaller as the maximum irradiance value is smaller when compared to the 1230-1330 period</w:t>
      </w:r>
      <w:r w:rsidR="00047EF7">
        <w:t>, which is attributed to the higher proportion of diffuse irradiance</w:t>
      </w:r>
      <w:r w:rsidRPr="00447CAB">
        <w:t>. In the 1800-1900 period, the range of irradiance received is within the range or less than the minimum of the other two periods, potentially due to the reduced irradiance as the sun sets.</w:t>
      </w:r>
    </w:p>
    <w:p w14:paraId="54E2544E" w14:textId="343DEA4E" w:rsidR="00447CAB" w:rsidRDefault="0064672B" w:rsidP="008F4296">
      <w:pPr>
        <w:spacing w:line="276" w:lineRule="auto"/>
        <w:jc w:val="center"/>
      </w:pPr>
      <w:r w:rsidRPr="008D5B1F">
        <w:rPr>
          <w:noProof/>
        </w:rPr>
        <w:lastRenderedPageBreak/>
        <mc:AlternateContent>
          <mc:Choice Requires="cx1">
            <w:drawing>
              <wp:inline distT="0" distB="0" distL="0" distR="0" wp14:anchorId="4D0757E3" wp14:editId="68BCF633">
                <wp:extent cx="5523865" cy="2713355"/>
                <wp:effectExtent l="0" t="0" r="0" b="0"/>
                <wp:docPr id="2" name="Chart 8"/>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7"/>
                  </a:graphicData>
                </a:graphic>
              </wp:inline>
            </w:drawing>
          </mc:Choice>
          <mc:Fallback>
            <w:drawing>
              <wp:inline distT="0" distB="0" distL="0" distR="0" wp14:anchorId="4D0757E3" wp14:editId="68BCF633">
                <wp:extent cx="5523865" cy="2713355"/>
                <wp:effectExtent l="0" t="0" r="0" b="0"/>
                <wp:docPr id="2" name="Chart 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8"/>
                        <pic:cNvPicPr>
                          <a:picLocks noGrp="1" noRot="1" noChangeAspect="1" noMove="1" noResize="1" noEditPoints="1" noAdjustHandles="1" noChangeArrowheads="1" noChangeShapeType="1"/>
                        </pic:cNvPicPr>
                      </pic:nvPicPr>
                      <pic:blipFill>
                        <a:blip r:embed="rId8"/>
                        <a:stretch>
                          <a:fillRect/>
                        </a:stretch>
                      </pic:blipFill>
                      <pic:spPr>
                        <a:xfrm>
                          <a:off x="0" y="0"/>
                          <a:ext cx="5523865" cy="2713355"/>
                        </a:xfrm>
                        <a:prstGeom prst="rect">
                          <a:avLst/>
                        </a:prstGeom>
                      </pic:spPr>
                    </pic:pic>
                  </a:graphicData>
                </a:graphic>
              </wp:inline>
            </w:drawing>
          </mc:Fallback>
        </mc:AlternateContent>
      </w:r>
    </w:p>
    <w:p w14:paraId="73EBBBA0" w14:textId="46906B97" w:rsidR="00447CAB" w:rsidRPr="007F67B9" w:rsidRDefault="00447CAB" w:rsidP="008C103C">
      <w:pPr>
        <w:pStyle w:val="Caption"/>
        <w:jc w:val="center"/>
        <w:rPr>
          <w:sz w:val="22"/>
          <w:szCs w:val="22"/>
        </w:rPr>
      </w:pPr>
      <w:r w:rsidRPr="007F67B9">
        <w:rPr>
          <w:sz w:val="22"/>
          <w:szCs w:val="22"/>
        </w:rPr>
        <w:t xml:space="preserve">Figure </w:t>
      </w:r>
      <w:r w:rsidRPr="007F67B9">
        <w:rPr>
          <w:sz w:val="22"/>
          <w:szCs w:val="22"/>
        </w:rPr>
        <w:fldChar w:fldCharType="begin"/>
      </w:r>
      <w:r w:rsidRPr="007F67B9">
        <w:rPr>
          <w:sz w:val="22"/>
          <w:szCs w:val="22"/>
        </w:rPr>
        <w:instrText xml:space="preserve"> SEQ Figure \* ARABIC </w:instrText>
      </w:r>
      <w:r w:rsidRPr="007F67B9">
        <w:rPr>
          <w:sz w:val="22"/>
          <w:szCs w:val="22"/>
        </w:rPr>
        <w:fldChar w:fldCharType="separate"/>
      </w:r>
      <w:r w:rsidRPr="007F67B9">
        <w:rPr>
          <w:noProof/>
          <w:sz w:val="22"/>
          <w:szCs w:val="22"/>
        </w:rPr>
        <w:t>2</w:t>
      </w:r>
      <w:r w:rsidRPr="007F67B9">
        <w:rPr>
          <w:sz w:val="22"/>
          <w:szCs w:val="22"/>
        </w:rPr>
        <w:fldChar w:fldCharType="end"/>
      </w:r>
      <w:r w:rsidRPr="007F67B9">
        <w:rPr>
          <w:sz w:val="22"/>
          <w:szCs w:val="22"/>
        </w:rPr>
        <w:t>: Comparison of irradiance collected over routes A and B over the 3 time periods.</w:t>
      </w:r>
    </w:p>
    <w:p w14:paraId="5E623FB7" w14:textId="6CF2B0CD" w:rsidR="00047EF7" w:rsidRPr="00047EF7" w:rsidRDefault="00047EF7" w:rsidP="008F4296">
      <w:pPr>
        <w:spacing w:line="276" w:lineRule="auto"/>
        <w:contextualSpacing/>
        <w:jc w:val="both"/>
        <w:rPr>
          <w:b/>
          <w:bCs/>
        </w:rPr>
      </w:pPr>
      <w:r w:rsidRPr="00047EF7">
        <w:rPr>
          <w:b/>
          <w:bCs/>
        </w:rPr>
        <w:t>b) Comparing between routes</w:t>
      </w:r>
    </w:p>
    <w:p w14:paraId="3575A946" w14:textId="77777777" w:rsidR="00047EF7" w:rsidRDefault="00047EF7" w:rsidP="008F4296">
      <w:pPr>
        <w:spacing w:line="276" w:lineRule="auto"/>
        <w:contextualSpacing/>
        <w:jc w:val="both"/>
      </w:pPr>
    </w:p>
    <w:p w14:paraId="5A8C0894" w14:textId="7C88146A" w:rsidR="00745BFE" w:rsidRDefault="00A734CB" w:rsidP="008F4296">
      <w:pPr>
        <w:spacing w:line="276" w:lineRule="auto"/>
        <w:contextualSpacing/>
        <w:jc w:val="both"/>
      </w:pPr>
      <w:r w:rsidRPr="00447CAB">
        <w:t xml:space="preserve">Comparing the two routes, the effect of building orientation has a definitive impact </w:t>
      </w:r>
      <w:r w:rsidR="006D6449" w:rsidRPr="00447CAB">
        <w:t xml:space="preserve">on the irradiance readings </w:t>
      </w:r>
      <w:r w:rsidR="008C103C">
        <w:t xml:space="preserve">in the 1230 – 1330 period whereby the median value is higher in </w:t>
      </w:r>
      <w:r w:rsidR="008F4296">
        <w:t xml:space="preserve">route A than route B. </w:t>
      </w:r>
      <w:r w:rsidR="001E426C" w:rsidRPr="00447CAB">
        <w:t>East</w:t>
      </w:r>
      <w:r w:rsidR="005D7FA0" w:rsidRPr="00447CAB">
        <w:t>-West</w:t>
      </w:r>
      <w:r w:rsidR="001E426C" w:rsidRPr="00447CAB">
        <w:t xml:space="preserve"> oriented street canyons </w:t>
      </w:r>
      <w:r w:rsidR="005D7FA0" w:rsidRPr="00447CAB">
        <w:t>we</w:t>
      </w:r>
      <w:r w:rsidR="001E426C" w:rsidRPr="00447CAB">
        <w:t xml:space="preserve">re also reported to receive higher solar radiation </w:t>
      </w:r>
      <w:r w:rsidR="005D7FA0" w:rsidRPr="00447CAB">
        <w:t>than North-South orientation</w:t>
      </w:r>
      <w:r w:rsidR="001E426C" w:rsidRPr="00447CAB">
        <w:t xml:space="preserve"> </w:t>
      </w:r>
      <w:r w:rsidR="008C103C">
        <w:t>by Gong et al.,</w:t>
      </w:r>
      <w:r w:rsidR="008C103C" w:rsidRPr="008C103C">
        <w:rPr>
          <w:vertAlign w:val="superscript"/>
        </w:rPr>
        <w:t>2</w:t>
      </w:r>
      <w:r w:rsidR="005D7FA0" w:rsidRPr="00447CAB">
        <w:t xml:space="preserve"> which coincides with our experimental </w:t>
      </w:r>
      <w:r w:rsidR="00047EF7">
        <w:t>results</w:t>
      </w:r>
      <w:r w:rsidR="005D7FA0" w:rsidRPr="00447CAB">
        <w:t>.</w:t>
      </w:r>
      <w:r w:rsidR="000068B1" w:rsidRPr="00447CAB">
        <w:t xml:space="preserve"> </w:t>
      </w:r>
      <w:r w:rsidR="008C103C">
        <w:t>However, the median values between the two routes for the 0800 – 0900 and 1800 – 1900 period do not differ significantly. This is attributed to the higher proportion of direct irradiation received by the car roof in the 1230 – 1330 period as compared to the other two. Note that due to the high variability of irradiance received, the median value was used as a comparison rather than the average, which is affected by extreme values in solar irradiance</w:t>
      </w:r>
      <w:r w:rsidR="00047EF7">
        <w:t xml:space="preserve"> in a dynamic environment</w:t>
      </w:r>
      <w:r w:rsidR="008C103C">
        <w:t>.</w:t>
      </w:r>
    </w:p>
    <w:p w14:paraId="371FA378" w14:textId="77777777" w:rsidR="00447CAB" w:rsidRPr="00447CAB" w:rsidRDefault="00447CAB" w:rsidP="008F4296">
      <w:pPr>
        <w:spacing w:line="276" w:lineRule="auto"/>
        <w:contextualSpacing/>
        <w:jc w:val="both"/>
      </w:pPr>
    </w:p>
    <w:p w14:paraId="1E0DFB68" w14:textId="1A415A71" w:rsidR="00953EAA" w:rsidRPr="00447CAB" w:rsidRDefault="003721B9" w:rsidP="008F4296">
      <w:pPr>
        <w:spacing w:line="276" w:lineRule="auto"/>
        <w:contextualSpacing/>
        <w:jc w:val="both"/>
      </w:pPr>
      <w:r w:rsidRPr="00447CAB">
        <w:rPr>
          <w:b/>
          <w:bCs/>
        </w:rPr>
        <w:t>3. Additional analysis in the main paper</w:t>
      </w:r>
    </w:p>
    <w:p w14:paraId="41C29691" w14:textId="77777777" w:rsidR="00047EF7" w:rsidRDefault="003721B9" w:rsidP="008F4296">
      <w:pPr>
        <w:spacing w:line="276" w:lineRule="auto"/>
        <w:contextualSpacing/>
        <w:jc w:val="both"/>
      </w:pPr>
      <w:r w:rsidRPr="00447CAB">
        <w:t>In addition to the above</w:t>
      </w:r>
      <w:r w:rsidR="00047EF7">
        <w:t xml:space="preserve"> results</w:t>
      </w:r>
      <w:r w:rsidRPr="00447CAB">
        <w:t>, the main paper investigate</w:t>
      </w:r>
      <w:r w:rsidR="00047EF7">
        <w:t>d</w:t>
      </w:r>
      <w:r w:rsidRPr="00447CAB">
        <w:t xml:space="preserve"> </w:t>
      </w:r>
      <w:r w:rsidR="00EC7911" w:rsidRPr="00447CAB">
        <w:t xml:space="preserve">the </w:t>
      </w:r>
      <w:r w:rsidR="00047EF7">
        <w:t xml:space="preserve">effect of weather </w:t>
      </w:r>
      <w:r w:rsidR="00EC7911" w:rsidRPr="00447CAB">
        <w:t xml:space="preserve">on solar irradiation received. </w:t>
      </w:r>
      <w:r w:rsidRPr="00447CAB">
        <w:t>Subsequently, we analys</w:t>
      </w:r>
      <w:r w:rsidR="00047EF7">
        <w:t>ed</w:t>
      </w:r>
      <w:r w:rsidRPr="00447CAB">
        <w:t xml:space="preserve"> the sky</w:t>
      </w:r>
      <w:r w:rsidR="00402682" w:rsidRPr="00447CAB">
        <w:t xml:space="preserve"> </w:t>
      </w:r>
      <w:r w:rsidRPr="00447CAB">
        <w:t xml:space="preserve">view factor (SVF) of the six locations identified in Figure 1. Due to the page limit of the extended abstract, these results are not presented in this document. </w:t>
      </w:r>
    </w:p>
    <w:p w14:paraId="4ED7907C" w14:textId="77777777" w:rsidR="00047EF7" w:rsidRDefault="00047EF7" w:rsidP="008F4296">
      <w:pPr>
        <w:spacing w:line="276" w:lineRule="auto"/>
        <w:contextualSpacing/>
        <w:jc w:val="both"/>
      </w:pPr>
    </w:p>
    <w:p w14:paraId="79022E57" w14:textId="61171D9A" w:rsidR="002F69D9" w:rsidRDefault="003721B9" w:rsidP="008F4296">
      <w:pPr>
        <w:spacing w:line="276" w:lineRule="auto"/>
        <w:contextualSpacing/>
        <w:jc w:val="both"/>
      </w:pPr>
      <w:r w:rsidRPr="00447CAB">
        <w:t>Nevertheless, we believe that the methodology develo</w:t>
      </w:r>
      <w:bookmarkStart w:id="0" w:name="_GoBack"/>
      <w:bookmarkEnd w:id="0"/>
      <w:r w:rsidRPr="00447CAB">
        <w:t>ped and findings obtained from this study would be of significant interest to the photovoltaic community in the conference for sustainable urban environments.</w:t>
      </w:r>
    </w:p>
    <w:p w14:paraId="07A3DFE9" w14:textId="77777777" w:rsidR="00447CAB" w:rsidRPr="00447CAB" w:rsidRDefault="00447CAB" w:rsidP="008F4296">
      <w:pPr>
        <w:spacing w:line="276" w:lineRule="auto"/>
        <w:contextualSpacing/>
        <w:jc w:val="both"/>
      </w:pPr>
    </w:p>
    <w:p w14:paraId="224C7AE6" w14:textId="1393EA45" w:rsidR="009A27B3" w:rsidRPr="00447CAB" w:rsidRDefault="00015C7C" w:rsidP="008F4296">
      <w:pPr>
        <w:spacing w:line="276" w:lineRule="auto"/>
        <w:contextualSpacing/>
        <w:jc w:val="both"/>
        <w:rPr>
          <w:b/>
          <w:bCs/>
        </w:rPr>
      </w:pPr>
      <w:r w:rsidRPr="00447CAB">
        <w:rPr>
          <w:b/>
          <w:bCs/>
        </w:rPr>
        <w:t>References</w:t>
      </w:r>
    </w:p>
    <w:p w14:paraId="63BE9D9C" w14:textId="3ECEC255" w:rsidR="008F4296" w:rsidRDefault="00017A09" w:rsidP="008F4296">
      <w:pPr>
        <w:pStyle w:val="EndNoteBibliography"/>
        <w:spacing w:after="0" w:line="276" w:lineRule="auto"/>
        <w:contextualSpacing/>
      </w:pPr>
      <w:r w:rsidRPr="008C103C">
        <w:rPr>
          <w:vertAlign w:val="superscript"/>
        </w:rPr>
        <w:t>1</w:t>
      </w:r>
      <w:r>
        <w:t xml:space="preserve"> </w:t>
      </w:r>
      <w:r w:rsidR="008F4296" w:rsidRPr="008F4296">
        <w:t xml:space="preserve">Ota, Y., Masuda, T., Araki, K., &amp; Yamaguchi, M., </w:t>
      </w:r>
      <w:r w:rsidR="008F4296" w:rsidRPr="008F4296">
        <w:rPr>
          <w:i/>
          <w:iCs/>
        </w:rPr>
        <w:t>Curve-Correction Factor for Characterization of the Output of a Three-Dimensional Curved Photovoltaic Module on a Car Roof</w:t>
      </w:r>
      <w:r w:rsidR="008F4296" w:rsidRPr="008F4296">
        <w:t>, Coatings, 8(12), 432, 2018.</w:t>
      </w:r>
    </w:p>
    <w:p w14:paraId="1D021631" w14:textId="77777777" w:rsidR="00047EF7" w:rsidRDefault="00047EF7" w:rsidP="008F4296">
      <w:pPr>
        <w:pStyle w:val="EndNoteBibliography"/>
        <w:spacing w:after="0" w:line="276" w:lineRule="auto"/>
        <w:contextualSpacing/>
      </w:pPr>
    </w:p>
    <w:p w14:paraId="58FEEADB" w14:textId="670C29D8" w:rsidR="00015C7C" w:rsidRPr="008F4296" w:rsidRDefault="00017A09" w:rsidP="008F4296">
      <w:pPr>
        <w:pStyle w:val="EndNoteBibliography"/>
        <w:spacing w:after="0" w:line="276" w:lineRule="auto"/>
        <w:contextualSpacing/>
      </w:pPr>
      <w:r w:rsidRPr="008C103C">
        <w:rPr>
          <w:vertAlign w:val="superscript"/>
        </w:rPr>
        <w:t>2</w:t>
      </w:r>
      <w:r>
        <w:t xml:space="preserve"> </w:t>
      </w:r>
      <w:r w:rsidRPr="008F4296">
        <w:t xml:space="preserve">Gong, F.-Y., Zeng, Z.-C., Ng, E., &amp; Norford, L. K., </w:t>
      </w:r>
      <w:r w:rsidRPr="008F4296">
        <w:rPr>
          <w:i/>
          <w:iCs/>
        </w:rPr>
        <w:t>Spatiotemporal patterns of street-level solar radiation estimated using Google Street View in a high-density urban environment</w:t>
      </w:r>
      <w:r w:rsidRPr="008F4296">
        <w:t xml:space="preserve">, Building and Environment, 148, 547-566, 2019. </w:t>
      </w:r>
    </w:p>
    <w:sectPr w:rsidR="00015C7C" w:rsidRPr="008F4296" w:rsidSect="008F429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27A3"/>
    <w:multiLevelType w:val="hybridMultilevel"/>
    <w:tmpl w:val="F0A6BB9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8771209"/>
    <w:multiLevelType w:val="hybridMultilevel"/>
    <w:tmpl w:val="BD504BEC"/>
    <w:lvl w:ilvl="0" w:tplc="21A88076">
      <w:start w:val="3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9A0BC3"/>
    <w:rsid w:val="000068B1"/>
    <w:rsid w:val="00015C7C"/>
    <w:rsid w:val="00017A09"/>
    <w:rsid w:val="000376B4"/>
    <w:rsid w:val="00047EF7"/>
    <w:rsid w:val="00067ABB"/>
    <w:rsid w:val="00077009"/>
    <w:rsid w:val="00080EF2"/>
    <w:rsid w:val="00084D4F"/>
    <w:rsid w:val="00116A61"/>
    <w:rsid w:val="00130917"/>
    <w:rsid w:val="001A5EEF"/>
    <w:rsid w:val="001E327D"/>
    <w:rsid w:val="001E426C"/>
    <w:rsid w:val="00232F32"/>
    <w:rsid w:val="002567B5"/>
    <w:rsid w:val="002F69D9"/>
    <w:rsid w:val="00347C2F"/>
    <w:rsid w:val="00355FBD"/>
    <w:rsid w:val="00371F05"/>
    <w:rsid w:val="003721B9"/>
    <w:rsid w:val="003F47CA"/>
    <w:rsid w:val="00402682"/>
    <w:rsid w:val="00406C6D"/>
    <w:rsid w:val="00446716"/>
    <w:rsid w:val="00447CAB"/>
    <w:rsid w:val="00560A89"/>
    <w:rsid w:val="00574046"/>
    <w:rsid w:val="00581C6B"/>
    <w:rsid w:val="005C1884"/>
    <w:rsid w:val="005C73CE"/>
    <w:rsid w:val="005D7FA0"/>
    <w:rsid w:val="00601290"/>
    <w:rsid w:val="00606EED"/>
    <w:rsid w:val="00611F2C"/>
    <w:rsid w:val="0064672B"/>
    <w:rsid w:val="00657470"/>
    <w:rsid w:val="00661430"/>
    <w:rsid w:val="006B378A"/>
    <w:rsid w:val="006D6449"/>
    <w:rsid w:val="006F7539"/>
    <w:rsid w:val="00721E22"/>
    <w:rsid w:val="007237E3"/>
    <w:rsid w:val="00745BFE"/>
    <w:rsid w:val="00790AD5"/>
    <w:rsid w:val="007F67B9"/>
    <w:rsid w:val="008338F4"/>
    <w:rsid w:val="008A64B4"/>
    <w:rsid w:val="008C103C"/>
    <w:rsid w:val="008F4296"/>
    <w:rsid w:val="009067AE"/>
    <w:rsid w:val="00953EAA"/>
    <w:rsid w:val="00970D5D"/>
    <w:rsid w:val="009A0BC3"/>
    <w:rsid w:val="009A27B3"/>
    <w:rsid w:val="009A2E34"/>
    <w:rsid w:val="009C2F85"/>
    <w:rsid w:val="009F76D1"/>
    <w:rsid w:val="00A53BFE"/>
    <w:rsid w:val="00A70D05"/>
    <w:rsid w:val="00A734CB"/>
    <w:rsid w:val="00AA154D"/>
    <w:rsid w:val="00AA1C81"/>
    <w:rsid w:val="00B36830"/>
    <w:rsid w:val="00BA0906"/>
    <w:rsid w:val="00C07258"/>
    <w:rsid w:val="00D440C2"/>
    <w:rsid w:val="00DB22AD"/>
    <w:rsid w:val="00E36E54"/>
    <w:rsid w:val="00EB316A"/>
    <w:rsid w:val="00EC7911"/>
    <w:rsid w:val="00ED70FE"/>
    <w:rsid w:val="00F2131F"/>
    <w:rsid w:val="00F457EB"/>
    <w:rsid w:val="00FC5C80"/>
    <w:rsid w:val="00FF7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2188AC"/>
  <w15:chartTrackingRefBased/>
  <w15:docId w15:val="{16798C49-8885-443A-A3ED-944F40C7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16"/>
    <w:pPr>
      <w:spacing w:after="160" w:line="259" w:lineRule="auto"/>
    </w:pPr>
    <w:rPr>
      <w:rFonts w:eastAsiaTheme="minorHAnsi"/>
      <w:lang w:val="en-GB" w:eastAsia="en-US"/>
    </w:rPr>
  </w:style>
  <w:style w:type="paragraph" w:styleId="Heading2">
    <w:name w:val="heading 2"/>
    <w:basedOn w:val="Normal"/>
    <w:next w:val="Normal"/>
    <w:link w:val="Heading2Char"/>
    <w:uiPriority w:val="9"/>
    <w:unhideWhenUsed/>
    <w:qFormat/>
    <w:rsid w:val="001E32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E32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16"/>
    <w:rPr>
      <w:rFonts w:ascii="Segoe UI" w:hAnsi="Segoe UI" w:cs="Segoe UI"/>
      <w:sz w:val="18"/>
      <w:szCs w:val="18"/>
      <w:lang w:val="en-GB"/>
    </w:rPr>
  </w:style>
  <w:style w:type="paragraph" w:styleId="ListParagraph">
    <w:name w:val="List Paragraph"/>
    <w:basedOn w:val="Normal"/>
    <w:uiPriority w:val="34"/>
    <w:qFormat/>
    <w:rsid w:val="00446716"/>
    <w:pPr>
      <w:ind w:left="720"/>
      <w:contextualSpacing/>
    </w:pPr>
  </w:style>
  <w:style w:type="table" w:styleId="GridTable6Colorful">
    <w:name w:val="Grid Table 6 Colorful"/>
    <w:basedOn w:val="TableNormal"/>
    <w:uiPriority w:val="51"/>
    <w:rsid w:val="00F2131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F2131F"/>
    <w:rPr>
      <w:sz w:val="16"/>
      <w:szCs w:val="16"/>
    </w:rPr>
  </w:style>
  <w:style w:type="paragraph" w:styleId="CommentText">
    <w:name w:val="annotation text"/>
    <w:basedOn w:val="Normal"/>
    <w:link w:val="CommentTextChar"/>
    <w:uiPriority w:val="99"/>
    <w:semiHidden/>
    <w:unhideWhenUsed/>
    <w:rsid w:val="00F2131F"/>
    <w:pPr>
      <w:spacing w:line="240" w:lineRule="auto"/>
    </w:pPr>
    <w:rPr>
      <w:sz w:val="20"/>
      <w:szCs w:val="20"/>
    </w:rPr>
  </w:style>
  <w:style w:type="character" w:customStyle="1" w:styleId="CommentTextChar">
    <w:name w:val="Comment Text Char"/>
    <w:basedOn w:val="DefaultParagraphFont"/>
    <w:link w:val="CommentText"/>
    <w:uiPriority w:val="99"/>
    <w:semiHidden/>
    <w:rsid w:val="00F2131F"/>
    <w:rPr>
      <w:rFonts w:eastAsiaTheme="minorHAnsi"/>
      <w:sz w:val="20"/>
      <w:szCs w:val="20"/>
      <w:lang w:val="en-GB" w:eastAsia="en-US"/>
    </w:rPr>
  </w:style>
  <w:style w:type="paragraph" w:styleId="Caption">
    <w:name w:val="caption"/>
    <w:basedOn w:val="Normal"/>
    <w:next w:val="Normal"/>
    <w:uiPriority w:val="35"/>
    <w:unhideWhenUsed/>
    <w:qFormat/>
    <w:rsid w:val="006F7539"/>
    <w:pPr>
      <w:spacing w:after="200" w:line="240" w:lineRule="auto"/>
    </w:pPr>
    <w:rPr>
      <w:i/>
      <w:iCs/>
      <w:color w:val="1F497D" w:themeColor="text2"/>
      <w:sz w:val="18"/>
      <w:szCs w:val="18"/>
    </w:rPr>
  </w:style>
  <w:style w:type="table" w:styleId="TableGrid">
    <w:name w:val="Table Grid"/>
    <w:basedOn w:val="TableNormal"/>
    <w:uiPriority w:val="59"/>
    <w:rsid w:val="0083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7911"/>
    <w:rPr>
      <w:b/>
      <w:bCs/>
    </w:rPr>
  </w:style>
  <w:style w:type="character" w:customStyle="1" w:styleId="CommentSubjectChar">
    <w:name w:val="Comment Subject Char"/>
    <w:basedOn w:val="CommentTextChar"/>
    <w:link w:val="CommentSubject"/>
    <w:uiPriority w:val="99"/>
    <w:semiHidden/>
    <w:rsid w:val="00EC7911"/>
    <w:rPr>
      <w:rFonts w:eastAsiaTheme="minorHAnsi"/>
      <w:b/>
      <w:bCs/>
      <w:sz w:val="20"/>
      <w:szCs w:val="20"/>
      <w:lang w:val="en-GB" w:eastAsia="en-US"/>
    </w:rPr>
  </w:style>
  <w:style w:type="character" w:customStyle="1" w:styleId="Heading2Char">
    <w:name w:val="Heading 2 Char"/>
    <w:basedOn w:val="DefaultParagraphFont"/>
    <w:link w:val="Heading2"/>
    <w:uiPriority w:val="9"/>
    <w:rsid w:val="001E327D"/>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uiPriority w:val="9"/>
    <w:rsid w:val="001E327D"/>
    <w:rPr>
      <w:rFonts w:asciiTheme="majorHAnsi" w:eastAsiaTheme="majorEastAsia" w:hAnsiTheme="majorHAnsi" w:cstheme="majorBidi"/>
      <w:color w:val="243F60" w:themeColor="accent1" w:themeShade="7F"/>
      <w:sz w:val="24"/>
      <w:szCs w:val="24"/>
      <w:lang w:val="en-GB" w:eastAsia="en-US"/>
    </w:rPr>
  </w:style>
  <w:style w:type="paragraph" w:customStyle="1" w:styleId="EndNoteBibliographyTitle">
    <w:name w:val="EndNote Bibliography Title"/>
    <w:basedOn w:val="Normal"/>
    <w:link w:val="EndNoteBibliographyTitleChar"/>
    <w:rsid w:val="009A27B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27B3"/>
    <w:rPr>
      <w:rFonts w:ascii="Calibri" w:eastAsiaTheme="minorHAnsi" w:hAnsi="Calibri" w:cs="Calibri"/>
      <w:noProof/>
      <w:lang w:eastAsia="en-US"/>
    </w:rPr>
  </w:style>
  <w:style w:type="paragraph" w:customStyle="1" w:styleId="EndNoteBibliography">
    <w:name w:val="EndNote Bibliography"/>
    <w:basedOn w:val="Normal"/>
    <w:link w:val="EndNoteBibliographyChar"/>
    <w:rsid w:val="009A27B3"/>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A27B3"/>
    <w:rPr>
      <w:rFonts w:ascii="Calibri" w:eastAsiaTheme="minorHAnsi" w:hAnsi="Calibri" w:cs="Calibri"/>
      <w:noProof/>
      <w:lang w:eastAsia="en-US"/>
    </w:rPr>
  </w:style>
  <w:style w:type="character" w:styleId="Hyperlink">
    <w:name w:val="Hyperlink"/>
    <w:basedOn w:val="DefaultParagraphFont"/>
    <w:uiPriority w:val="99"/>
    <w:unhideWhenUsed/>
    <w:rsid w:val="009A27B3"/>
    <w:rPr>
      <w:color w:val="0000FF" w:themeColor="hyperlink"/>
      <w:u w:val="single"/>
    </w:rPr>
  </w:style>
  <w:style w:type="character" w:styleId="UnresolvedMention">
    <w:name w:val="Unresolved Mention"/>
    <w:basedOn w:val="DefaultParagraphFont"/>
    <w:uiPriority w:val="99"/>
    <w:semiHidden/>
    <w:unhideWhenUsed/>
    <w:rsid w:val="009A2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14/relationships/chartEx" Target="charts/chart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Cheryl%20Ng\Desktop\Projects\Dissertation\Experiment\NS%20and%20EW%20comparisons.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'[NS and EW comparisons.xlsx]Combined Scatter'!$B$1:$B$18</cx:f>
        <cx:lvl ptCount="18" formatCode="General">
          <cx:pt idx="0">61.899999999999999</cx:pt>
          <cx:pt idx="1">150.59999999999999</cx:pt>
          <cx:pt idx="2">94.400000000000006</cx:pt>
          <cx:pt idx="3">29.399999999999999</cx:pt>
          <cx:pt idx="4">31.899999999999999</cx:pt>
          <cx:pt idx="5">95.599999999999994</cx:pt>
          <cx:pt idx="6">81.900000000000006</cx:pt>
          <cx:pt idx="7">419.39999999999998</cx:pt>
          <cx:pt idx="8">280.60000000000002</cx:pt>
          <cx:pt idx="9">38.100000000000001</cx:pt>
          <cx:pt idx="10">43.100000000000001</cx:pt>
          <cx:pt idx="11">121.90000000000001</cx:pt>
          <cx:pt idx="12">81.900000000000006</cx:pt>
          <cx:pt idx="13">419.39999999999998</cx:pt>
          <cx:pt idx="14">280.60000000000002</cx:pt>
          <cx:pt idx="15">38.100000000000001</cx:pt>
          <cx:pt idx="16">43.100000000000001</cx:pt>
          <cx:pt idx="17">121.90000000000001</cx:pt>
        </cx:lvl>
      </cx:numDim>
    </cx:data>
    <cx:data id="1">
      <cx:numDim type="val">
        <cx:f>'[NS and EW comparisons.xlsx]Combined Scatter'!$E$1:$E$18</cx:f>
        <cx:lvl ptCount="18" formatCode="General">
          <cx:pt idx="0">89.400000000000006</cx:pt>
          <cx:pt idx="1">95.599999999999994</cx:pt>
          <cx:pt idx="2">86.900000000000006</cx:pt>
          <cx:pt idx="3">101.90000000000001</cx:pt>
          <cx:pt idx="4">128.09999999999999</cx:pt>
          <cx:pt idx="5">103.09999999999999</cx:pt>
          <cx:pt idx="6">89.400000000000006</cx:pt>
          <cx:pt idx="7">231.90000000000001</cx:pt>
          <cx:pt idx="8">85.599999999999994</cx:pt>
          <cx:pt idx="9">30.600000000000001</cx:pt>
          <cx:pt idx="10">34.399999999999999</cx:pt>
          <cx:pt idx="11">28.100000000000001</cx:pt>
          <cx:pt idx="12">10.6</cx:pt>
          <cx:pt idx="13">13.1</cx:pt>
          <cx:pt idx="14">8.0999999999999996</cx:pt>
          <cx:pt idx="15">124.40000000000001</cx:pt>
          <cx:pt idx="16">143.09999999999999</cx:pt>
          <cx:pt idx="17">109.40000000000001</cx:pt>
        </cx:lvl>
      </cx:numDim>
    </cx:data>
    <cx:data id="2">
      <cx:numDim type="val">
        <cx:f>'[NS and EW comparisons.xlsx]Combined Scatter'!$B$19:$B$36</cx:f>
        <cx:lvl ptCount="18" formatCode="General">
          <cx:pt idx="0">278.10000000000002</cx:pt>
          <cx:pt idx="1">674.39999999999998</cx:pt>
          <cx:pt idx="2">881.89999999999998</cx:pt>
          <cx:pt idx="3">393.10000000000002</cx:pt>
          <cx:pt idx="4">343.10000000000002</cx:pt>
          <cx:pt idx="5">879.39999999999998</cx:pt>
          <cx:pt idx="6">378.10000000000002</cx:pt>
          <cx:pt idx="7">768.10000000000002</cx:pt>
          <cx:pt idx="8">948.10000000000002</cx:pt>
          <cx:pt idx="9">441.89999999999998</cx:pt>
          <cx:pt idx="10">725.60000000000002</cx:pt>
          <cx:pt idx="11">909.39999999999998</cx:pt>
          <cx:pt idx="12">296.89999999999998</cx:pt>
          <cx:pt idx="13">583.10000000000002</cx:pt>
          <cx:pt idx="14">895.60000000000002</cx:pt>
          <cx:pt idx="15">385.60000000000002</cx:pt>
          <cx:pt idx="16">554.5</cx:pt>
          <cx:pt idx="17">886.89999999999998</cx:pt>
        </cx:lvl>
      </cx:numDim>
    </cx:data>
    <cx:data id="3">
      <cx:numDim type="val">
        <cx:f>'[NS and EW comparisons.xlsx]Combined Scatter'!$E$19:$E$36</cx:f>
        <cx:lvl ptCount="18" formatCode="General">
          <cx:pt idx="0">1031.9000000000001</cx:pt>
          <cx:pt idx="1">1150.5999999999999</cx:pt>
          <cx:pt idx="2">334.39999999999998</cx:pt>
          <cx:pt idx="3">514.39999999999998</cx:pt>
          <cx:pt idx="4">539.39999999999998</cx:pt>
          <cx:pt idx="5">384.39999999999998</cx:pt>
          <cx:pt idx="6">909.39999999999998</cx:pt>
          <cx:pt idx="7">1011.9</cx:pt>
          <cx:pt idx="8">931.89999999999998</cx:pt>
          <cx:pt idx="9">354.39999999999998</cx:pt>
          <cx:pt idx="10">461.89999999999998</cx:pt>
          <cx:pt idx="11">343.10000000000002</cx:pt>
          <cx:pt idx="12">459.39999999999998</cx:pt>
          <cx:pt idx="13">523.10000000000002</cx:pt>
          <cx:pt idx="14">285.60000000000002</cx:pt>
          <cx:pt idx="15">899.39999999999998</cx:pt>
          <cx:pt idx="16">908.10000000000002</cx:pt>
          <cx:pt idx="17">938.10000000000002</cx:pt>
        </cx:lvl>
      </cx:numDim>
    </cx:data>
    <cx:data id="4">
      <cx:numDim type="val">
        <cx:f>'[NS and EW comparisons.xlsx]Combined Scatter'!$B$37:$B$54</cx:f>
        <cx:lvl ptCount="18" formatCode="General">
          <cx:pt idx="0">1.8999999999999999</cx:pt>
          <cx:pt idx="1">24.399999999999999</cx:pt>
          <cx:pt idx="2">38.100000000000001</cx:pt>
          <cx:pt idx="3">29.399999999999999</cx:pt>
          <cx:pt idx="4">0.59999999999999998</cx:pt>
          <cx:pt idx="5">35.600000000000001</cx:pt>
          <cx:pt idx="6">1.8999999999999999</cx:pt>
          <cx:pt idx="7">31.899999999999999</cx:pt>
          <cx:pt idx="8">43.100000000000001</cx:pt>
          <cx:pt idx="9">31.899999999999999</cx:pt>
          <cx:pt idx="10">0.59999999999999998</cx:pt>
          <cx:pt idx="11">38.100000000000001</cx:pt>
          <cx:pt idx="12">1.8999999999999999</cx:pt>
          <cx:pt idx="13">19.399999999999999</cx:pt>
          <cx:pt idx="14">34.399999999999999</cx:pt>
          <cx:pt idx="15">26.899999999999999</cx:pt>
          <cx:pt idx="16">0.59999999999999998</cx:pt>
          <cx:pt idx="17">26.899999999999999</cx:pt>
        </cx:lvl>
      </cx:numDim>
    </cx:data>
    <cx:data id="5">
      <cx:numDim type="val">
        <cx:f>'[NS and EW comparisons.xlsx]Combined Scatter'!$E$37:$E$54</cx:f>
        <cx:lvl ptCount="18" formatCode="General">
          <cx:pt idx="0">1.8999999999999999</cx:pt>
          <cx:pt idx="1">3.1000000000000001</cx:pt>
          <cx:pt idx="2">0.59999999999999998</cx:pt>
          <cx:pt idx="3">26.899999999999999</cx:pt>
          <cx:pt idx="4">30.600000000000001</cx:pt>
          <cx:pt idx="5">24.399999999999999</cx:pt>
          <cx:pt idx="6">24.399999999999999</cx:pt>
          <cx:pt idx="7">33.100000000000001</cx:pt>
          <cx:pt idx="8">26.899999999999999</cx:pt>
          <cx:pt idx="9">30.600000000000001</cx:pt>
          <cx:pt idx="10">35.600000000000001</cx:pt>
          <cx:pt idx="11">24.399999999999999</cx:pt>
          <cx:pt idx="12">0.59999999999999998</cx:pt>
          <cx:pt idx="13">0.59999999999999998</cx:pt>
          <cx:pt idx="14">0.59999999999999998</cx:pt>
          <cx:pt idx="15">43.100000000000001</cx:pt>
          <cx:pt idx="16">46.899999999999999</cx:pt>
          <cx:pt idx="17">28.100000000000001</cx:pt>
        </cx:lvl>
      </cx:numDim>
    </cx:data>
  </cx:chartData>
  <cx:chart>
    <cx:plotArea>
      <cx:plotAreaRegion>
        <cx:series layoutId="boxWhisker" uniqueId="{FAE1ADB8-1A11-4C4A-A2B2-85229C6ED7A1}" formatIdx="0">
          <cx:tx>
            <cx:txData>
              <cx:f/>
              <cx:v>Route A 0800 - 0900</cx:v>
            </cx:txData>
          </cx:tx>
          <cx:dataId val="0"/>
          <cx:layoutPr>
            <cx:visibility meanLine="0" meanMarker="1" nonoutliers="0" outliers="0"/>
            <cx:statistics quartileMethod="exclusive"/>
          </cx:layoutPr>
        </cx:series>
        <cx:series layoutId="boxWhisker" uniqueId="{00000002-0294-4856-A9A7-5A0819F174E1}">
          <cx:tx>
            <cx:txData>
              <cx:f/>
              <cx:v>Route B 0800 - 0900</cx:v>
            </cx:txData>
          </cx:tx>
          <cx:dataId val="1"/>
          <cx:layoutPr>
            <cx:visibility meanLine="0" meanMarker="1" nonoutliers="0" outliers="0"/>
            <cx:statistics quartileMethod="exclusive"/>
          </cx:layoutPr>
        </cx:series>
        <cx:series layoutId="boxWhisker" uniqueId="{00000003-0294-4856-A9A7-5A0819F174E1}">
          <cx:tx>
            <cx:txData>
              <cx:f/>
              <cx:v>Route A 1230 - 1330</cx:v>
            </cx:txData>
          </cx:tx>
          <cx:dataId val="2"/>
          <cx:layoutPr>
            <cx:visibility meanLine="0" meanMarker="1" nonoutliers="0" outliers="0"/>
            <cx:statistics quartileMethod="inclusive"/>
          </cx:layoutPr>
        </cx:series>
        <cx:series layoutId="boxWhisker" uniqueId="{00000004-0294-4856-A9A7-5A0819F174E1}">
          <cx:tx>
            <cx:txData>
              <cx:f/>
              <cx:v>Route B 1230 -1330</cx:v>
            </cx:txData>
          </cx:tx>
          <cx:dataId val="3"/>
          <cx:layoutPr>
            <cx:visibility meanMarker="1" nonoutliers="0" outliers="0"/>
            <cx:statistics quartileMethod="exclusive"/>
          </cx:layoutPr>
        </cx:series>
        <cx:series layoutId="boxWhisker" uniqueId="{00000005-0294-4856-A9A7-5A0819F174E1}">
          <cx:tx>
            <cx:txData>
              <cx:f/>
              <cx:v>Route A 1800 - 1900</cx:v>
            </cx:txData>
          </cx:tx>
          <cx:dataId val="4"/>
          <cx:layoutPr>
            <cx:visibility nonoutliers="0" outliers="0"/>
            <cx:statistics quartileMethod="exclusive"/>
          </cx:layoutPr>
        </cx:series>
        <cx:series layoutId="boxWhisker" uniqueId="{00000006-0294-4856-A9A7-5A0819F174E1}">
          <cx:tx>
            <cx:txData>
              <cx:f/>
              <cx:v>Route B 1800 - 1900</cx:v>
            </cx:txData>
          </cx:tx>
          <cx:dataId val="5"/>
          <cx:layoutPr>
            <cx:visibility nonoutliers="0" outliers="0"/>
            <cx:statistics quartileMethod="exclusive"/>
          </cx:layoutPr>
        </cx:series>
      </cx:plotAreaRegion>
      <cx:axis id="0" hidden="1">
        <cx:catScaling gapWidth="0.300000012"/>
        <cx:tickLabels/>
        <cx:numFmt formatCode="@" sourceLinked="0"/>
        <cx:txPr>
          <a:bodyPr vertOverflow="overflow" horzOverflow="overflow" wrap="square" lIns="0" tIns="0" rIns="0" bIns="0"/>
          <a:lstStyle/>
          <a:p>
            <a:pPr algn="ctr" rtl="0">
              <a:defRPr sz="900" b="0" i="0" baseline="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US" baseline="0">
              <a:latin typeface="Calibri" panose="020F0502020204030204" pitchFamily="34" charset="0"/>
            </a:endParaRPr>
          </a:p>
        </cx:txPr>
      </cx:axis>
      <cx:axis id="1">
        <cx:valScaling max="1200"/>
        <cx:title>
          <cx:tx>
            <cx:rich>
              <a:bodyPr spcFirstLastPara="1" vertOverflow="ellipsis" horzOverflow="overflow" wrap="square" lIns="0" tIns="0" rIns="0" bIns="0" anchor="ctr" anchorCtr="1"/>
              <a:lstStyle/>
              <a:p>
                <a:pPr algn="ctr" rtl="0">
                  <a:spcBef>
                    <a:spcPts val="0"/>
                  </a:spcBef>
                  <a:spcAft>
                    <a:spcPts val="0"/>
                  </a:spcAft>
                  <a:defRPr baseline="0">
                    <a:latin typeface="Calibri" panose="020F0502020204030204" pitchFamily="34" charset="0"/>
                  </a:defRPr>
                </a:pPr>
                <a:r>
                  <a:rPr lang="en-US" sz="900" b="0" i="0" kern="1200" baseline="0">
                    <a:solidFill>
                      <a:srgbClr val="595959"/>
                    </a:solidFill>
                    <a:effectLst/>
                    <a:latin typeface="Calibri" panose="020F0502020204030204" pitchFamily="34" charset="0"/>
                  </a:rPr>
                  <a:t>Solar Irradiance (</a:t>
                </a:r>
                <a:r>
                  <a:rPr lang="en-GB" sz="900" b="0" i="0" kern="1200" baseline="0">
                    <a:solidFill>
                      <a:srgbClr val="595959"/>
                    </a:solidFill>
                    <a:effectLst/>
                    <a:latin typeface="Calibri" panose="020F0502020204030204" pitchFamily="34" charset="0"/>
                  </a:rPr>
                  <a:t>W/m2</a:t>
                </a:r>
                <a:r>
                  <a:rPr lang="en-US" sz="900" b="0" i="0" kern="1200" baseline="0">
                    <a:solidFill>
                      <a:srgbClr val="595959"/>
                    </a:solidFill>
                    <a:effectLst/>
                    <a:latin typeface="Calibri" panose="020F0502020204030204" pitchFamily="34" charset="0"/>
                  </a:rPr>
                  <a:t>)</a:t>
                </a:r>
                <a:endParaRPr lang="en-US" sz="900" baseline="0">
                  <a:effectLst/>
                  <a:latin typeface="Calibri" panose="020F0502020204030204" pitchFamily="34" charset="0"/>
                </a:endParaRPr>
              </a:p>
            </cx:rich>
          </cx:tx>
        </cx:title>
        <cx:majorGridlines/>
        <cx:tickLabels/>
        <cx:txPr>
          <a:bodyPr vertOverflow="overflow" horzOverflow="overflow" wrap="square" lIns="0" tIns="0" rIns="0" bIns="0"/>
          <a:lstStyle/>
          <a:p>
            <a:pPr algn="ctr" rtl="0">
              <a:defRPr sz="900" b="0" i="0" baseline="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US" baseline="0">
              <a:latin typeface="Calibri" panose="020F0502020204030204" pitchFamily="34" charset="0"/>
            </a:endParaRPr>
          </a:p>
        </cx:txPr>
      </cx:axis>
    </cx:plotArea>
    <cx:legend pos="b" align="ctr" overlay="0">
      <cx:txPr>
        <a:bodyPr vertOverflow="overflow" horzOverflow="overflow" wrap="square" lIns="0" tIns="0" rIns="0" bIns="0"/>
        <a:lstStyle/>
        <a:p>
          <a:pPr algn="ctr" rtl="0">
            <a:defRPr sz="900" b="0" i="0" baseline="0">
              <a:solidFill>
                <a:srgbClr val="595959"/>
              </a:solidFill>
              <a:latin typeface="Calibri" panose="020F0502020204030204" pitchFamily="34" charset="0"/>
              <a:ea typeface="Calibri" panose="020F0502020204030204" pitchFamily="34" charset="0"/>
              <a:cs typeface="Calibri" panose="020F0502020204030204" pitchFamily="34" charset="0"/>
            </a:defRPr>
          </a:pPr>
          <a:endParaRPr lang="en-US" baseline="0">
            <a:latin typeface="Calibri" panose="020F0502020204030204" pitchFamily="34" charset="0"/>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4CA0-55CE-4F49-AAA5-3299BA33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Ng</dc:creator>
  <cp:keywords/>
  <dc:description/>
  <cp:lastModifiedBy>Cheryl Ng</cp:lastModifiedBy>
  <cp:revision>2</cp:revision>
  <dcterms:created xsi:type="dcterms:W3CDTF">2019-12-12T12:46:00Z</dcterms:created>
  <dcterms:modified xsi:type="dcterms:W3CDTF">2019-12-12T12:46:00Z</dcterms:modified>
</cp:coreProperties>
</file>