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06F07" w14:textId="179E4E29" w:rsidR="00CE1542" w:rsidRPr="00CE1542" w:rsidRDefault="00DE03DB" w:rsidP="00CE1542">
      <w:pPr>
        <w:pStyle w:val="Abstract-Title"/>
        <w:rPr>
          <w:b w:val="0"/>
          <w:color w:val="auto"/>
          <w:szCs w:val="24"/>
          <w:lang w:val="en-GB"/>
        </w:rPr>
      </w:pPr>
      <w:r>
        <w:rPr>
          <w:b w:val="0"/>
          <w:color w:val="auto"/>
          <w:szCs w:val="24"/>
          <w:lang w:val="en-GB"/>
        </w:rPr>
        <w:t>Enabling the potential of plated contacts on carrier selective contact solar cells for mass production</w:t>
      </w:r>
    </w:p>
    <w:p w14:paraId="3A79114F" w14:textId="77777777" w:rsidR="004C5146" w:rsidRPr="007C2CD4" w:rsidRDefault="004C5146" w:rsidP="004C5146">
      <w:pPr>
        <w:rPr>
          <w:rFonts w:asciiTheme="minorHAnsi" w:hAnsiTheme="minorHAnsi"/>
          <w:lang w:val="en-GB"/>
        </w:rPr>
      </w:pPr>
    </w:p>
    <w:p w14:paraId="5199CE07" w14:textId="1B2DA2DF" w:rsidR="004C5146" w:rsidRPr="00563AFB" w:rsidRDefault="00C97AEA" w:rsidP="004C5146">
      <w:pPr>
        <w:rPr>
          <w:rFonts w:asciiTheme="minorHAnsi" w:hAnsiTheme="minorHAnsi"/>
        </w:rPr>
      </w:pPr>
      <w:r w:rsidRPr="00563AFB">
        <w:rPr>
          <w:rFonts w:asciiTheme="minorHAnsi" w:hAnsiTheme="minorHAnsi"/>
          <w:lang w:eastAsia="zh-CN"/>
        </w:rPr>
        <w:t>S.</w:t>
      </w:r>
      <w:r w:rsidR="00563AFB" w:rsidRPr="00563AFB">
        <w:rPr>
          <w:rFonts w:asciiTheme="minorHAnsi" w:hAnsiTheme="minorHAnsi"/>
          <w:lang w:eastAsia="zh-CN"/>
        </w:rPr>
        <w:t xml:space="preserve"> </w:t>
      </w:r>
      <w:r w:rsidRPr="00563AFB">
        <w:rPr>
          <w:rFonts w:asciiTheme="minorHAnsi" w:hAnsiTheme="minorHAnsi"/>
          <w:lang w:eastAsia="zh-CN"/>
        </w:rPr>
        <w:t>Fox</w:t>
      </w:r>
      <w:r w:rsidR="00751260" w:rsidRPr="00563AFB">
        <w:rPr>
          <w:rFonts w:asciiTheme="minorHAnsi" w:hAnsiTheme="minorHAnsi"/>
          <w:vertAlign w:val="superscript"/>
          <w:lang w:eastAsia="zh-CN"/>
        </w:rPr>
        <w:t>2</w:t>
      </w:r>
      <w:r w:rsidR="00255EEF" w:rsidRPr="00563AFB">
        <w:rPr>
          <w:sz w:val="18"/>
          <w:szCs w:val="18"/>
          <w:lang w:eastAsia="zh-CN"/>
        </w:rPr>
        <w:t>,</w:t>
      </w:r>
      <w:r w:rsidR="00751260" w:rsidRPr="00563AFB">
        <w:rPr>
          <w:rFonts w:asciiTheme="minorHAnsi" w:hAnsiTheme="minorHAnsi"/>
        </w:rPr>
        <w:t xml:space="preserve"> </w:t>
      </w:r>
      <w:r w:rsidR="00DE03DB" w:rsidRPr="00563AFB">
        <w:rPr>
          <w:rFonts w:asciiTheme="minorHAnsi" w:hAnsiTheme="minorHAnsi"/>
        </w:rPr>
        <w:t>N. Bay</w:t>
      </w:r>
      <w:r w:rsidR="00DE03DB" w:rsidRPr="00563AFB">
        <w:rPr>
          <w:rFonts w:asciiTheme="minorHAnsi" w:hAnsiTheme="minorHAnsi"/>
          <w:vertAlign w:val="superscript"/>
        </w:rPr>
        <w:t>1</w:t>
      </w:r>
      <w:r w:rsidR="00DE03DB">
        <w:rPr>
          <w:rFonts w:asciiTheme="minorHAnsi" w:hAnsiTheme="minorHAnsi"/>
          <w:vertAlign w:val="subscript"/>
        </w:rPr>
        <w:t>,</w:t>
      </w:r>
      <w:r w:rsidR="00DE03DB">
        <w:rPr>
          <w:rFonts w:asciiTheme="minorHAnsi" w:hAnsiTheme="minorHAnsi"/>
          <w:vertAlign w:val="superscript"/>
        </w:rPr>
        <w:t xml:space="preserve"> </w:t>
      </w:r>
      <w:r w:rsidR="008126B5" w:rsidRPr="00563AFB">
        <w:rPr>
          <w:rFonts w:asciiTheme="minorHAnsi" w:hAnsiTheme="minorHAnsi"/>
        </w:rPr>
        <w:t>J.</w:t>
      </w:r>
      <w:r w:rsidR="00563AFB" w:rsidRPr="00563AFB">
        <w:rPr>
          <w:rFonts w:asciiTheme="minorHAnsi" w:hAnsiTheme="minorHAnsi"/>
        </w:rPr>
        <w:t xml:space="preserve"> </w:t>
      </w:r>
      <w:r w:rsidR="008126B5" w:rsidRPr="00563AFB">
        <w:rPr>
          <w:rFonts w:asciiTheme="minorHAnsi" w:hAnsiTheme="minorHAnsi"/>
        </w:rPr>
        <w:t>Burschik</w:t>
      </w:r>
      <w:r w:rsidR="008126B5" w:rsidRPr="00563AFB">
        <w:rPr>
          <w:rFonts w:asciiTheme="minorHAnsi" w:hAnsiTheme="minorHAnsi"/>
          <w:vertAlign w:val="superscript"/>
        </w:rPr>
        <w:t>1</w:t>
      </w:r>
      <w:r w:rsidR="00DE03DB">
        <w:rPr>
          <w:rFonts w:asciiTheme="minorHAnsi" w:hAnsiTheme="minorHAnsi"/>
        </w:rPr>
        <w:t>, D. Brunner</w:t>
      </w:r>
      <w:r w:rsidR="00DE03DB" w:rsidRPr="00DE03DB">
        <w:rPr>
          <w:rFonts w:asciiTheme="minorHAnsi" w:hAnsiTheme="minorHAnsi"/>
          <w:vertAlign w:val="superscript"/>
        </w:rPr>
        <w:t>1</w:t>
      </w:r>
      <w:r w:rsidR="00DE03DB">
        <w:rPr>
          <w:rFonts w:asciiTheme="minorHAnsi" w:hAnsiTheme="minorHAnsi"/>
        </w:rPr>
        <w:t xml:space="preserve">, </w:t>
      </w:r>
      <w:r w:rsidR="00751260" w:rsidRPr="00563AFB">
        <w:rPr>
          <w:rFonts w:asciiTheme="minorHAnsi" w:hAnsiTheme="minorHAnsi"/>
        </w:rPr>
        <w:t xml:space="preserve"> </w:t>
      </w:r>
      <w:r w:rsidR="00CE1542">
        <w:rPr>
          <w:rFonts w:asciiTheme="minorHAnsi" w:hAnsiTheme="minorHAnsi"/>
        </w:rPr>
        <w:t>U. Jäger</w:t>
      </w:r>
      <w:r w:rsidR="00DE03DB" w:rsidRPr="00DE03DB">
        <w:rPr>
          <w:rFonts w:asciiTheme="minorHAnsi" w:hAnsiTheme="minorHAnsi"/>
          <w:vertAlign w:val="superscript"/>
        </w:rPr>
        <w:t>1</w:t>
      </w:r>
      <w:r w:rsidR="00CE1542">
        <w:rPr>
          <w:rFonts w:asciiTheme="minorHAnsi" w:hAnsiTheme="minorHAnsi"/>
        </w:rPr>
        <w:t>,</w:t>
      </w:r>
      <w:r w:rsidR="00751260" w:rsidRPr="00563AFB">
        <w:rPr>
          <w:rFonts w:asciiTheme="minorHAnsi" w:hAnsiTheme="minorHAnsi"/>
        </w:rPr>
        <w:t xml:space="preserve"> </w:t>
      </w:r>
      <w:r w:rsidR="00DE03DB">
        <w:rPr>
          <w:rFonts w:asciiTheme="minorHAnsi" w:hAnsiTheme="minorHAnsi"/>
        </w:rPr>
        <w:t>S. Kluska</w:t>
      </w:r>
      <w:r w:rsidR="00DE03DB" w:rsidRPr="00DE03DB">
        <w:rPr>
          <w:rFonts w:asciiTheme="minorHAnsi" w:hAnsiTheme="minorHAnsi"/>
          <w:vertAlign w:val="superscript"/>
        </w:rPr>
        <w:t>3</w:t>
      </w:r>
      <w:r w:rsidR="00DE03DB">
        <w:rPr>
          <w:rFonts w:asciiTheme="minorHAnsi" w:hAnsiTheme="minorHAnsi"/>
        </w:rPr>
        <w:t xml:space="preserve">,  </w:t>
      </w:r>
      <w:r w:rsidR="00751260" w:rsidRPr="00563AFB">
        <w:rPr>
          <w:rFonts w:asciiTheme="minorHAnsi" w:hAnsiTheme="minorHAnsi"/>
        </w:rPr>
        <w:t>H.</w:t>
      </w:r>
      <w:r w:rsidR="00563AFB">
        <w:rPr>
          <w:rFonts w:asciiTheme="minorHAnsi" w:hAnsiTheme="minorHAnsi"/>
        </w:rPr>
        <w:t xml:space="preserve"> </w:t>
      </w:r>
      <w:r w:rsidR="00751260" w:rsidRPr="00563AFB">
        <w:rPr>
          <w:rFonts w:asciiTheme="minorHAnsi" w:hAnsiTheme="minorHAnsi"/>
        </w:rPr>
        <w:t>Kühnlein</w:t>
      </w:r>
      <w:r w:rsidR="00751260" w:rsidRPr="00563AFB">
        <w:rPr>
          <w:rFonts w:asciiTheme="minorHAnsi" w:hAnsiTheme="minorHAnsi"/>
          <w:vertAlign w:val="superscript"/>
        </w:rPr>
        <w:t>1</w:t>
      </w:r>
      <w:r w:rsidR="00751260" w:rsidRPr="00563AFB">
        <w:rPr>
          <w:rFonts w:asciiTheme="minorHAnsi" w:hAnsiTheme="minorHAnsi"/>
        </w:rPr>
        <w:t>, B.</w:t>
      </w:r>
      <w:r w:rsidR="00563AFB">
        <w:rPr>
          <w:rFonts w:asciiTheme="minorHAnsi" w:hAnsiTheme="minorHAnsi"/>
        </w:rPr>
        <w:t xml:space="preserve"> </w:t>
      </w:r>
      <w:r w:rsidR="00751260" w:rsidRPr="00563AFB">
        <w:rPr>
          <w:rFonts w:asciiTheme="minorHAnsi" w:hAnsiTheme="minorHAnsi"/>
        </w:rPr>
        <w:t>Lee</w:t>
      </w:r>
      <w:r w:rsidR="00DE03DB">
        <w:rPr>
          <w:rFonts w:asciiTheme="minorHAnsi" w:hAnsiTheme="minorHAnsi"/>
          <w:vertAlign w:val="superscript"/>
        </w:rPr>
        <w:t>4</w:t>
      </w:r>
      <w:r w:rsidR="00751260" w:rsidRPr="00563AFB">
        <w:rPr>
          <w:rFonts w:asciiTheme="minorHAnsi" w:hAnsiTheme="minorHAnsi"/>
        </w:rPr>
        <w:t>, M. Passig</w:t>
      </w:r>
      <w:r w:rsidR="00751260" w:rsidRPr="00563AFB">
        <w:rPr>
          <w:rFonts w:asciiTheme="minorHAnsi" w:hAnsiTheme="minorHAnsi"/>
          <w:vertAlign w:val="superscript"/>
        </w:rPr>
        <w:t>1</w:t>
      </w:r>
      <w:r w:rsidR="00751260" w:rsidRPr="00563AFB">
        <w:rPr>
          <w:rFonts w:asciiTheme="minorHAnsi" w:hAnsiTheme="minorHAnsi"/>
        </w:rPr>
        <w:t xml:space="preserve">, </w:t>
      </w:r>
      <w:r w:rsidR="00945BAB" w:rsidRPr="00563AFB">
        <w:rPr>
          <w:rFonts w:asciiTheme="minorHAnsi" w:hAnsiTheme="minorHAnsi"/>
        </w:rPr>
        <w:t xml:space="preserve">, </w:t>
      </w:r>
      <w:r w:rsidR="00945BAB" w:rsidRPr="00563AFB">
        <w:rPr>
          <w:sz w:val="18"/>
          <w:szCs w:val="18"/>
          <w:lang w:eastAsia="zh-CN"/>
        </w:rPr>
        <w:t xml:space="preserve"> </w:t>
      </w:r>
      <w:r w:rsidR="00751260" w:rsidRPr="00563AFB">
        <w:rPr>
          <w:rFonts w:asciiTheme="minorHAnsi" w:hAnsiTheme="minorHAnsi"/>
        </w:rPr>
        <w:t>M</w:t>
      </w:r>
      <w:r w:rsidRPr="00563AFB">
        <w:rPr>
          <w:rFonts w:asciiTheme="minorHAnsi" w:hAnsiTheme="minorHAnsi"/>
        </w:rPr>
        <w:t>. Sieber</w:t>
      </w:r>
      <w:r w:rsidR="00E973EF" w:rsidRPr="00563AFB">
        <w:rPr>
          <w:rFonts w:asciiTheme="minorHAnsi" w:hAnsiTheme="minorHAnsi"/>
          <w:vertAlign w:val="superscript"/>
        </w:rPr>
        <w:t>1</w:t>
      </w:r>
      <w:r w:rsidR="00E973EF" w:rsidRPr="00563AFB">
        <w:rPr>
          <w:rFonts w:asciiTheme="minorHAnsi" w:hAnsiTheme="minorHAnsi"/>
        </w:rPr>
        <w:t xml:space="preserve">, </w:t>
      </w:r>
      <w:r w:rsidR="000F4B77">
        <w:rPr>
          <w:rFonts w:asciiTheme="minorHAnsi" w:hAnsiTheme="minorHAnsi"/>
        </w:rPr>
        <w:t>B. Steinha</w:t>
      </w:r>
      <w:r w:rsidR="00DE03DB">
        <w:rPr>
          <w:rFonts w:asciiTheme="minorHAnsi" w:hAnsiTheme="minorHAnsi"/>
        </w:rPr>
        <w:t>user</w:t>
      </w:r>
      <w:r w:rsidR="00DE03DB" w:rsidRPr="00DE03DB">
        <w:rPr>
          <w:rFonts w:asciiTheme="minorHAnsi" w:hAnsiTheme="minorHAnsi"/>
          <w:vertAlign w:val="superscript"/>
        </w:rPr>
        <w:t>3</w:t>
      </w:r>
    </w:p>
    <w:p w14:paraId="1481C394" w14:textId="2C67F521" w:rsidR="004C5146" w:rsidRPr="00DE03DB" w:rsidRDefault="00E973EF" w:rsidP="004C5146">
      <w:pPr>
        <w:rPr>
          <w:rFonts w:asciiTheme="minorHAnsi" w:hAnsiTheme="minorHAnsi"/>
          <w:lang w:val="en-US"/>
        </w:rPr>
      </w:pPr>
      <w:r w:rsidRPr="00D13873">
        <w:rPr>
          <w:rFonts w:asciiTheme="minorHAnsi" w:hAnsiTheme="minorHAnsi"/>
          <w:vertAlign w:val="superscript"/>
        </w:rPr>
        <w:t>1</w:t>
      </w:r>
      <w:r w:rsidR="004C5146" w:rsidRPr="00D13873">
        <w:rPr>
          <w:rFonts w:asciiTheme="minorHAnsi" w:hAnsiTheme="minorHAnsi"/>
        </w:rPr>
        <w:t>Rena Technologies GmbH</w:t>
      </w:r>
      <w:r w:rsidRPr="00D13873">
        <w:rPr>
          <w:rFonts w:asciiTheme="minorHAnsi" w:hAnsiTheme="minorHAnsi"/>
        </w:rPr>
        <w:t xml:space="preserve">, </w:t>
      </w:r>
      <w:r w:rsidR="00F01302" w:rsidRPr="00D13873">
        <w:rPr>
          <w:rFonts w:asciiTheme="minorHAnsi" w:hAnsiTheme="minorHAnsi"/>
        </w:rPr>
        <w:t xml:space="preserve">Hans-Bunte-Str. </w:t>
      </w:r>
      <w:r w:rsidR="00F01302" w:rsidRPr="00DE03DB">
        <w:rPr>
          <w:rFonts w:asciiTheme="minorHAnsi" w:hAnsiTheme="minorHAnsi"/>
          <w:lang w:val="en-US"/>
        </w:rPr>
        <w:t>19</w:t>
      </w:r>
      <w:r w:rsidRPr="00DE03DB">
        <w:rPr>
          <w:rFonts w:asciiTheme="minorHAnsi" w:hAnsiTheme="minorHAnsi"/>
          <w:lang w:val="en-US"/>
        </w:rPr>
        <w:t>, D-</w:t>
      </w:r>
      <w:r w:rsidR="00F01302" w:rsidRPr="00DE03DB">
        <w:rPr>
          <w:rFonts w:asciiTheme="minorHAnsi" w:hAnsiTheme="minorHAnsi"/>
          <w:lang w:val="en-US"/>
        </w:rPr>
        <w:t>79108 Freiburg</w:t>
      </w:r>
      <w:r w:rsidR="00DE03DB">
        <w:rPr>
          <w:rFonts w:asciiTheme="minorHAnsi" w:hAnsiTheme="minorHAnsi"/>
          <w:lang w:val="en-US"/>
        </w:rPr>
        <w:t>, Germany</w:t>
      </w:r>
    </w:p>
    <w:p w14:paraId="5138C0DB" w14:textId="2B33BB4C" w:rsidR="00F01302" w:rsidRDefault="00F01302" w:rsidP="00F01302">
      <w:pPr>
        <w:rPr>
          <w:rFonts w:asciiTheme="minorHAnsi" w:hAnsiTheme="minorHAnsi"/>
          <w:vertAlign w:val="superscript"/>
          <w:lang w:val="en-US"/>
        </w:rPr>
      </w:pPr>
      <w:r w:rsidRPr="00F01302">
        <w:rPr>
          <w:rFonts w:asciiTheme="minorHAnsi" w:hAnsiTheme="minorHAnsi"/>
          <w:vertAlign w:val="superscript"/>
          <w:lang w:val="en-GB"/>
        </w:rPr>
        <w:t>2</w:t>
      </w:r>
      <w:r w:rsidR="00751260">
        <w:rPr>
          <w:rFonts w:asciiTheme="minorHAnsi" w:hAnsiTheme="minorHAnsi"/>
          <w:lang w:val="en-GB"/>
        </w:rPr>
        <w:t xml:space="preserve"> </w:t>
      </w:r>
      <w:proofErr w:type="spellStart"/>
      <w:r w:rsidR="00751260">
        <w:rPr>
          <w:rFonts w:asciiTheme="minorHAnsi" w:hAnsiTheme="minorHAnsi"/>
          <w:lang w:val="en-GB"/>
        </w:rPr>
        <w:t>Jinko</w:t>
      </w:r>
      <w:proofErr w:type="spellEnd"/>
      <w:r w:rsidR="002A7A2B">
        <w:rPr>
          <w:rFonts w:asciiTheme="minorHAnsi" w:hAnsiTheme="minorHAnsi"/>
          <w:lang w:val="en-GB"/>
        </w:rPr>
        <w:t xml:space="preserve"> Solar </w:t>
      </w:r>
      <w:proofErr w:type="spellStart"/>
      <w:r w:rsidR="002A7A2B">
        <w:rPr>
          <w:rFonts w:asciiTheme="minorHAnsi" w:hAnsiTheme="minorHAnsi"/>
          <w:lang w:val="en-GB"/>
        </w:rPr>
        <w:t>Co.,Ltd</w:t>
      </w:r>
      <w:proofErr w:type="spellEnd"/>
      <w:r w:rsidR="002A7A2B">
        <w:rPr>
          <w:rFonts w:asciiTheme="minorHAnsi" w:hAnsiTheme="minorHAnsi"/>
          <w:lang w:val="en-GB"/>
        </w:rPr>
        <w:t xml:space="preserve">, No 58 Yuan Xi Road, </w:t>
      </w:r>
      <w:proofErr w:type="spellStart"/>
      <w:r w:rsidR="002A7A2B">
        <w:rPr>
          <w:rFonts w:asciiTheme="minorHAnsi" w:hAnsiTheme="minorHAnsi"/>
          <w:lang w:val="en-GB"/>
        </w:rPr>
        <w:t>Haining</w:t>
      </w:r>
      <w:proofErr w:type="spellEnd"/>
      <w:r w:rsidR="002A7A2B">
        <w:rPr>
          <w:rFonts w:asciiTheme="minorHAnsi" w:hAnsiTheme="minorHAnsi"/>
          <w:lang w:val="en-GB"/>
        </w:rPr>
        <w:t>, Zhejiang</w:t>
      </w:r>
      <w:r w:rsidR="008C2071" w:rsidRPr="00D13873">
        <w:rPr>
          <w:rFonts w:asciiTheme="minorHAnsi" w:hAnsiTheme="minorHAnsi"/>
          <w:lang w:val="en-US"/>
        </w:rPr>
        <w:t>, PR Chin</w:t>
      </w:r>
      <w:r w:rsidR="00DE03DB">
        <w:rPr>
          <w:rFonts w:asciiTheme="minorHAnsi" w:hAnsiTheme="minorHAnsi"/>
          <w:lang w:val="en-US"/>
        </w:rPr>
        <w:t>a</w:t>
      </w:r>
    </w:p>
    <w:p w14:paraId="650D94DC" w14:textId="5462697F" w:rsidR="00DE03DB" w:rsidRDefault="00DE03DB" w:rsidP="00F01302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vertAlign w:val="superscript"/>
          <w:lang w:val="en-GB"/>
        </w:rPr>
        <w:t>3</w:t>
      </w:r>
      <w:r>
        <w:rPr>
          <w:rFonts w:asciiTheme="minorHAnsi" w:hAnsiTheme="minorHAnsi"/>
          <w:lang w:val="en-GB"/>
        </w:rPr>
        <w:t xml:space="preserve"> </w:t>
      </w:r>
      <w:proofErr w:type="spellStart"/>
      <w:r>
        <w:rPr>
          <w:rFonts w:asciiTheme="minorHAnsi" w:hAnsiTheme="minorHAnsi"/>
          <w:lang w:val="en-GB"/>
        </w:rPr>
        <w:t>Fraunhofer</w:t>
      </w:r>
      <w:proofErr w:type="spellEnd"/>
      <w:r>
        <w:rPr>
          <w:rFonts w:asciiTheme="minorHAnsi" w:hAnsiTheme="minorHAnsi"/>
          <w:lang w:val="en-GB"/>
        </w:rPr>
        <w:t xml:space="preserve"> ISE, </w:t>
      </w:r>
      <w:proofErr w:type="spellStart"/>
      <w:r>
        <w:rPr>
          <w:rFonts w:asciiTheme="minorHAnsi" w:hAnsiTheme="minorHAnsi"/>
          <w:lang w:val="en-GB"/>
        </w:rPr>
        <w:t>Heidenhofstr</w:t>
      </w:r>
      <w:proofErr w:type="spellEnd"/>
      <w:r>
        <w:rPr>
          <w:rFonts w:asciiTheme="minorHAnsi" w:hAnsiTheme="minorHAnsi"/>
          <w:lang w:val="en-GB"/>
        </w:rPr>
        <w:t>. 2, 79110 Freiburg, Germany</w:t>
      </w:r>
    </w:p>
    <w:p w14:paraId="094B8554" w14:textId="1285D74E" w:rsidR="00404F1E" w:rsidRDefault="00DE03DB" w:rsidP="00F01302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vertAlign w:val="superscript"/>
          <w:lang w:val="en-US"/>
        </w:rPr>
        <w:t>4</w:t>
      </w:r>
      <w:r w:rsidR="00404F1E" w:rsidRPr="00D213EF">
        <w:rPr>
          <w:rFonts w:asciiTheme="minorHAnsi" w:hAnsiTheme="minorHAnsi"/>
          <w:lang w:val="en-US"/>
        </w:rPr>
        <w:t xml:space="preserve">MacDermid </w:t>
      </w:r>
      <w:proofErr w:type="spellStart"/>
      <w:r w:rsidR="0029569A" w:rsidRPr="00D213EF">
        <w:rPr>
          <w:rFonts w:asciiTheme="minorHAnsi" w:hAnsiTheme="minorHAnsi"/>
          <w:lang w:val="en-US"/>
        </w:rPr>
        <w:t>Enthone</w:t>
      </w:r>
      <w:proofErr w:type="spellEnd"/>
      <w:r w:rsidR="0029569A" w:rsidRPr="00D213EF">
        <w:rPr>
          <w:rFonts w:asciiTheme="minorHAnsi" w:hAnsiTheme="minorHAnsi"/>
          <w:lang w:val="en-US"/>
        </w:rPr>
        <w:t xml:space="preserve"> </w:t>
      </w:r>
      <w:r w:rsidR="00404F1E" w:rsidRPr="00D213EF">
        <w:rPr>
          <w:rFonts w:asciiTheme="minorHAnsi" w:hAnsiTheme="minorHAnsi"/>
          <w:lang w:val="en-US"/>
        </w:rPr>
        <w:t>Inc., 245 Freight Street, Waterbury, CT 06702,</w:t>
      </w:r>
      <w:r>
        <w:rPr>
          <w:rFonts w:asciiTheme="minorHAnsi" w:hAnsiTheme="minorHAnsi"/>
          <w:lang w:val="en-US"/>
        </w:rPr>
        <w:t xml:space="preserve"> USA</w:t>
      </w:r>
      <w:r w:rsidR="00404F1E" w:rsidRPr="00404F1E">
        <w:rPr>
          <w:rFonts w:asciiTheme="minorHAnsi" w:hAnsiTheme="minorHAnsi"/>
          <w:lang w:val="en-US"/>
        </w:rPr>
        <w:t xml:space="preserve"> </w:t>
      </w:r>
    </w:p>
    <w:p w14:paraId="31468CFB" w14:textId="77777777" w:rsidR="00BF5332" w:rsidRDefault="00BF5332" w:rsidP="00F01302">
      <w:pPr>
        <w:rPr>
          <w:rStyle w:val="Fett"/>
          <w:rFonts w:ascii="Helvetica" w:hAnsi="Helvetica" w:cs="Helvetica"/>
          <w:color w:val="000000" w:themeColor="text1"/>
          <w:sz w:val="15"/>
          <w:szCs w:val="15"/>
          <w:lang w:val="en-US"/>
        </w:rPr>
      </w:pPr>
    </w:p>
    <w:p w14:paraId="7A9B4C20" w14:textId="77777777" w:rsidR="00BF5332" w:rsidRDefault="00BF5332" w:rsidP="00F01302">
      <w:pPr>
        <w:rPr>
          <w:rStyle w:val="Fett"/>
          <w:rFonts w:ascii="Helvetica" w:hAnsi="Helvetica" w:cs="Helvetica"/>
          <w:color w:val="000000" w:themeColor="text1"/>
          <w:sz w:val="15"/>
          <w:szCs w:val="15"/>
          <w:lang w:val="en-US"/>
        </w:rPr>
      </w:pPr>
    </w:p>
    <w:p w14:paraId="32C46AC0" w14:textId="77777777" w:rsidR="00BF5332" w:rsidRPr="008126B5" w:rsidRDefault="008126B5" w:rsidP="00F01302">
      <w:pPr>
        <w:rPr>
          <w:rFonts w:asciiTheme="minorHAnsi" w:hAnsiTheme="minorHAnsi"/>
          <w:color w:val="000000" w:themeColor="text1"/>
          <w:sz w:val="32"/>
          <w:lang w:val="en-US"/>
        </w:rPr>
      </w:pPr>
      <w:r w:rsidRPr="008126B5">
        <w:rPr>
          <w:rStyle w:val="Fett"/>
          <w:rFonts w:ascii="Helvetica" w:hAnsi="Helvetica" w:cs="Helvetica"/>
          <w:color w:val="000000" w:themeColor="text1"/>
          <w:sz w:val="18"/>
          <w:szCs w:val="15"/>
          <w:lang w:val="en-US"/>
        </w:rPr>
        <w:t xml:space="preserve">Topic: </w:t>
      </w:r>
      <w:r w:rsidR="00BF5332" w:rsidRPr="008126B5">
        <w:rPr>
          <w:rStyle w:val="Fett"/>
          <w:rFonts w:ascii="Helvetica" w:hAnsi="Helvetica" w:cs="Helvetica"/>
          <w:color w:val="000000" w:themeColor="text1"/>
          <w:sz w:val="18"/>
          <w:szCs w:val="15"/>
          <w:lang w:val="en-US"/>
        </w:rPr>
        <w:t>Silicon Solar Cell Improvements and Innovation</w:t>
      </w:r>
    </w:p>
    <w:p w14:paraId="34401CCB" w14:textId="77777777" w:rsidR="004C5146" w:rsidRPr="007C2CD4" w:rsidRDefault="004C5146" w:rsidP="004C5146">
      <w:pPr>
        <w:rPr>
          <w:rFonts w:asciiTheme="minorHAnsi" w:hAnsiTheme="minorHAnsi"/>
          <w:lang w:val="en-GB"/>
        </w:rPr>
      </w:pPr>
    </w:p>
    <w:p w14:paraId="1A9D77CF" w14:textId="77777777" w:rsidR="004C5146" w:rsidRPr="007C2CD4" w:rsidRDefault="004C5146" w:rsidP="004C5146">
      <w:pPr>
        <w:autoSpaceDE w:val="0"/>
        <w:autoSpaceDN w:val="0"/>
        <w:adjustRightInd w:val="0"/>
        <w:rPr>
          <w:rFonts w:ascii="Calibri" w:hAnsi="Calibri" w:cs="Calibri"/>
          <w:lang w:val="en-GB"/>
        </w:rPr>
      </w:pPr>
      <w:r w:rsidRPr="007C2CD4">
        <w:rPr>
          <w:rFonts w:ascii="Calibri" w:hAnsi="Calibri" w:cs="Calibri"/>
          <w:lang w:val="en-GB"/>
        </w:rPr>
        <w:t>Corresponding author:</w:t>
      </w:r>
    </w:p>
    <w:p w14:paraId="2609EE6F" w14:textId="6C39B2B4" w:rsidR="004C5146" w:rsidRPr="007C2CD4" w:rsidRDefault="00DE03DB" w:rsidP="004C5146">
      <w:pPr>
        <w:autoSpaceDE w:val="0"/>
        <w:autoSpaceDN w:val="0"/>
        <w:adjustRightInd w:val="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N. Bay</w:t>
      </w:r>
      <w:r w:rsidR="00E973EF">
        <w:rPr>
          <w:rFonts w:ascii="Calibri" w:hAnsi="Calibri" w:cs="Calibri"/>
          <w:lang w:val="en-GB"/>
        </w:rPr>
        <w:t>, Phone: +49</w:t>
      </w:r>
      <w:r w:rsidR="0084716B">
        <w:rPr>
          <w:rFonts w:ascii="Calibri" w:hAnsi="Calibri" w:cs="Calibri"/>
          <w:lang w:val="en-GB"/>
        </w:rPr>
        <w:t xml:space="preserve"> 761 15063 4583</w:t>
      </w:r>
      <w:r w:rsidR="004C5146" w:rsidRPr="007C2CD4">
        <w:rPr>
          <w:rFonts w:ascii="Calibri" w:hAnsi="Calibri" w:cs="Calibri"/>
          <w:lang w:val="en-GB"/>
        </w:rPr>
        <w:t xml:space="preserve">, Email: </w:t>
      </w:r>
      <w:r w:rsidR="00F92517">
        <w:rPr>
          <w:rFonts w:ascii="Calibri" w:hAnsi="Calibri" w:cs="Calibri"/>
          <w:lang w:val="en-GB"/>
        </w:rPr>
        <w:t>Norbert.bay</w:t>
      </w:r>
      <w:r w:rsidR="00E973EF">
        <w:rPr>
          <w:rFonts w:ascii="Calibri" w:hAnsi="Calibri" w:cs="Calibri"/>
          <w:lang w:val="en-GB"/>
        </w:rPr>
        <w:t>@rena</w:t>
      </w:r>
      <w:r w:rsidR="004C5146" w:rsidRPr="007C2CD4">
        <w:rPr>
          <w:rFonts w:ascii="Calibri" w:hAnsi="Calibri" w:cs="Calibri"/>
          <w:lang w:val="en-GB"/>
        </w:rPr>
        <w:t>.com</w:t>
      </w:r>
    </w:p>
    <w:p w14:paraId="660CCE92" w14:textId="77777777" w:rsidR="004C5146" w:rsidRDefault="004C5146" w:rsidP="004C5146">
      <w:pPr>
        <w:rPr>
          <w:rFonts w:asciiTheme="minorHAnsi" w:hAnsiTheme="minorHAnsi"/>
          <w:lang w:val="en-GB"/>
        </w:rPr>
      </w:pPr>
    </w:p>
    <w:p w14:paraId="0664CF0E" w14:textId="43BF9F37" w:rsidR="000B06E7" w:rsidRPr="00FC6855" w:rsidRDefault="006D721A" w:rsidP="00FC6855">
      <w:pPr>
        <w:pStyle w:val="Abstract-Heading1"/>
        <w:ind w:left="357" w:hanging="357"/>
        <w:rPr>
          <w:lang w:val="en-GB"/>
        </w:rPr>
      </w:pPr>
      <w:r>
        <w:rPr>
          <w:lang w:val="en-GB"/>
        </w:rPr>
        <w:t>Relevance and Approach</w:t>
      </w:r>
    </w:p>
    <w:p w14:paraId="628C2996" w14:textId="230C85DA" w:rsidR="000B06E7" w:rsidRPr="000B06E7" w:rsidRDefault="000B06E7" w:rsidP="000B06E7">
      <w:pPr>
        <w:pStyle w:val="Abstract-Text"/>
        <w:rPr>
          <w:color w:val="auto"/>
          <w:lang w:val="en-GB"/>
        </w:rPr>
      </w:pPr>
      <w:r w:rsidRPr="000B06E7">
        <w:rPr>
          <w:color w:val="auto"/>
          <w:lang w:val="en-GB"/>
        </w:rPr>
        <w:t>The efficiency potential of PERC solar cells is estimated to be in the range</w:t>
      </w:r>
      <w:r>
        <w:rPr>
          <w:color w:val="auto"/>
          <w:lang w:val="en-GB"/>
        </w:rPr>
        <w:t xml:space="preserve"> </w:t>
      </w:r>
      <w:r w:rsidRPr="000B06E7">
        <w:rPr>
          <w:color w:val="auto"/>
          <w:lang w:val="en-GB"/>
        </w:rPr>
        <w:t>of 24% [1]. Passivated contact solar cells such as tunnel oxide passivated contact (TOPCon) [2] and</w:t>
      </w:r>
      <w:r>
        <w:rPr>
          <w:color w:val="auto"/>
          <w:lang w:val="en-GB"/>
        </w:rPr>
        <w:t xml:space="preserve"> </w:t>
      </w:r>
      <w:r w:rsidRPr="000B06E7">
        <w:rPr>
          <w:color w:val="auto"/>
          <w:lang w:val="en-GB"/>
        </w:rPr>
        <w:t>silicon heterojunction (SHJ) solar cells are promising candidates for enabling solar cell efficiencies in</w:t>
      </w:r>
      <w:r>
        <w:rPr>
          <w:color w:val="auto"/>
          <w:lang w:val="en-GB"/>
        </w:rPr>
        <w:t xml:space="preserve"> </w:t>
      </w:r>
      <w:r w:rsidRPr="000B06E7">
        <w:rPr>
          <w:color w:val="auto"/>
          <w:lang w:val="en-GB"/>
        </w:rPr>
        <w:t>mass production beyond the efficiency limit of PERC. Various research institutes and solar cell</w:t>
      </w:r>
      <w:r>
        <w:rPr>
          <w:color w:val="auto"/>
          <w:lang w:val="en-GB"/>
        </w:rPr>
        <w:t xml:space="preserve"> </w:t>
      </w:r>
      <w:r w:rsidRPr="000B06E7">
        <w:rPr>
          <w:color w:val="auto"/>
          <w:lang w:val="en-GB"/>
        </w:rPr>
        <w:t>manufacturers already demonstrated solar cell efficiencies beyond 24%. This technology change</w:t>
      </w:r>
      <w:r>
        <w:rPr>
          <w:color w:val="auto"/>
          <w:lang w:val="en-GB"/>
        </w:rPr>
        <w:t xml:space="preserve"> </w:t>
      </w:r>
      <w:r w:rsidRPr="000B06E7">
        <w:rPr>
          <w:color w:val="auto"/>
          <w:lang w:val="en-GB"/>
        </w:rPr>
        <w:t>would most likely come with a migration from p-type to n-type mono wafers.</w:t>
      </w:r>
      <w:r w:rsidR="00855579">
        <w:rPr>
          <w:color w:val="auto"/>
          <w:lang w:val="en-GB"/>
        </w:rPr>
        <w:t xml:space="preserve"> </w:t>
      </w:r>
      <w:r w:rsidRPr="000B06E7">
        <w:rPr>
          <w:color w:val="auto"/>
          <w:lang w:val="en-GB"/>
        </w:rPr>
        <w:t>Passivated contact solar cells are already achieving high cell efficiencies and are proven for many</w:t>
      </w:r>
      <w:r>
        <w:rPr>
          <w:color w:val="auto"/>
          <w:lang w:val="en-GB"/>
        </w:rPr>
        <w:t xml:space="preserve"> </w:t>
      </w:r>
      <w:r w:rsidRPr="000B06E7">
        <w:rPr>
          <w:color w:val="auto"/>
          <w:lang w:val="en-GB"/>
        </w:rPr>
        <w:t>years in mass production at different solar cell manufacturers (</w:t>
      </w:r>
      <w:proofErr w:type="spellStart"/>
      <w:r w:rsidRPr="000B06E7">
        <w:rPr>
          <w:color w:val="auto"/>
          <w:lang w:val="en-GB"/>
        </w:rPr>
        <w:t>Sunpower</w:t>
      </w:r>
      <w:proofErr w:type="spellEnd"/>
      <w:r w:rsidRPr="000B06E7">
        <w:rPr>
          <w:color w:val="auto"/>
          <w:lang w:val="en-GB"/>
        </w:rPr>
        <w:t xml:space="preserve">, Panasonic, </w:t>
      </w:r>
      <w:proofErr w:type="spellStart"/>
      <w:r w:rsidRPr="000B06E7">
        <w:rPr>
          <w:color w:val="auto"/>
          <w:lang w:val="en-GB"/>
        </w:rPr>
        <w:t>Sunpreme</w:t>
      </w:r>
      <w:proofErr w:type="spellEnd"/>
      <w:r w:rsidRPr="000B06E7">
        <w:rPr>
          <w:color w:val="auto"/>
          <w:lang w:val="en-GB"/>
        </w:rPr>
        <w:t>, …).</w:t>
      </w:r>
      <w:r>
        <w:rPr>
          <w:color w:val="auto"/>
          <w:lang w:val="en-GB"/>
        </w:rPr>
        <w:t xml:space="preserve"> </w:t>
      </w:r>
      <w:r w:rsidRPr="000B06E7">
        <w:rPr>
          <w:color w:val="auto"/>
          <w:lang w:val="en-GB"/>
        </w:rPr>
        <w:t>However, one major developing task is to further decrease production costs. Back-end processes are</w:t>
      </w:r>
      <w:r>
        <w:rPr>
          <w:color w:val="auto"/>
          <w:lang w:val="en-GB"/>
        </w:rPr>
        <w:t xml:space="preserve"> </w:t>
      </w:r>
      <w:r w:rsidRPr="000B06E7">
        <w:rPr>
          <w:color w:val="auto"/>
          <w:lang w:val="en-GB"/>
        </w:rPr>
        <w:t>a significant cost driver for TOPCon and SHJ solar cells. Screen printing is the established and well</w:t>
      </w:r>
      <w:r>
        <w:rPr>
          <w:color w:val="auto"/>
          <w:lang w:val="en-GB"/>
        </w:rPr>
        <w:t xml:space="preserve"> </w:t>
      </w:r>
      <w:r w:rsidRPr="000B06E7">
        <w:rPr>
          <w:color w:val="auto"/>
          <w:lang w:val="en-GB"/>
        </w:rPr>
        <w:t>understood metallization technology for PERC solar cells and is also typically used for metallizing</w:t>
      </w:r>
      <w:r>
        <w:rPr>
          <w:color w:val="auto"/>
          <w:lang w:val="en-GB"/>
        </w:rPr>
        <w:t xml:space="preserve"> </w:t>
      </w:r>
      <w:r w:rsidRPr="000B06E7">
        <w:rPr>
          <w:color w:val="auto"/>
          <w:lang w:val="en-GB"/>
        </w:rPr>
        <w:t>TOPCon and SHJ solar cells. The bifacial grid design which is common for these solar cell types</w:t>
      </w:r>
      <w:r>
        <w:rPr>
          <w:color w:val="auto"/>
          <w:lang w:val="en-GB"/>
        </w:rPr>
        <w:t xml:space="preserve"> </w:t>
      </w:r>
      <w:r w:rsidRPr="000B06E7">
        <w:rPr>
          <w:color w:val="auto"/>
          <w:lang w:val="en-GB"/>
        </w:rPr>
        <w:t>significantly increases the material costs due to the fact that now silver (Ag) or silver-</w:t>
      </w:r>
      <w:proofErr w:type="spellStart"/>
      <w:r w:rsidRPr="000B06E7">
        <w:rPr>
          <w:color w:val="auto"/>
          <w:lang w:val="en-GB"/>
        </w:rPr>
        <w:t>aluminum</w:t>
      </w:r>
      <w:proofErr w:type="spellEnd"/>
      <w:r>
        <w:rPr>
          <w:color w:val="auto"/>
          <w:lang w:val="en-GB"/>
        </w:rPr>
        <w:t xml:space="preserve"> </w:t>
      </w:r>
      <w:r w:rsidRPr="000B06E7">
        <w:rPr>
          <w:color w:val="auto"/>
          <w:lang w:val="en-GB"/>
        </w:rPr>
        <w:t>(</w:t>
      </w:r>
      <w:proofErr w:type="spellStart"/>
      <w:r w:rsidRPr="000B06E7">
        <w:rPr>
          <w:color w:val="auto"/>
          <w:lang w:val="en-GB"/>
        </w:rPr>
        <w:t>AgAl</w:t>
      </w:r>
      <w:proofErr w:type="spellEnd"/>
      <w:r w:rsidRPr="000B06E7">
        <w:rPr>
          <w:color w:val="auto"/>
          <w:lang w:val="en-GB"/>
        </w:rPr>
        <w:t>) pastes have to be printed on front and rear side of the solar cell to achieve also on the rear</w:t>
      </w:r>
      <w:r>
        <w:rPr>
          <w:color w:val="auto"/>
          <w:lang w:val="en-GB"/>
        </w:rPr>
        <w:t xml:space="preserve"> </w:t>
      </w:r>
      <w:r w:rsidRPr="000B06E7">
        <w:rPr>
          <w:color w:val="auto"/>
          <w:lang w:val="en-GB"/>
        </w:rPr>
        <w:t>side low grid resistances. Forecasting increasing PV growth up to TW market scale the silver</w:t>
      </w:r>
      <w:r>
        <w:rPr>
          <w:color w:val="auto"/>
          <w:lang w:val="en-GB"/>
        </w:rPr>
        <w:t xml:space="preserve"> </w:t>
      </w:r>
      <w:r w:rsidRPr="000B06E7">
        <w:rPr>
          <w:color w:val="auto"/>
          <w:lang w:val="en-GB"/>
        </w:rPr>
        <w:t>consumption turns out to be a massive cost driver (1 TW would use 100% of today’s annual</w:t>
      </w:r>
      <w:r>
        <w:rPr>
          <w:color w:val="auto"/>
          <w:lang w:val="en-GB"/>
        </w:rPr>
        <w:t xml:space="preserve"> </w:t>
      </w:r>
      <w:r w:rsidRPr="000B06E7">
        <w:rPr>
          <w:color w:val="auto"/>
          <w:lang w:val="en-GB"/>
        </w:rPr>
        <w:t>worldwide Ag production [3]) for solar cell production.</w:t>
      </w:r>
      <w:r>
        <w:rPr>
          <w:color w:val="auto"/>
          <w:lang w:val="en-GB"/>
        </w:rPr>
        <w:t xml:space="preserve"> </w:t>
      </w:r>
      <w:r w:rsidRPr="000B06E7">
        <w:rPr>
          <w:color w:val="auto"/>
          <w:lang w:val="en-GB"/>
        </w:rPr>
        <w:t>Replacing Ag with copper (Cu) would enable a reduction in raw material costs by a factor of 100.</w:t>
      </w:r>
      <w:r>
        <w:rPr>
          <w:color w:val="auto"/>
          <w:lang w:val="en-GB"/>
        </w:rPr>
        <w:t xml:space="preserve"> </w:t>
      </w:r>
      <w:r w:rsidRPr="000B06E7">
        <w:rPr>
          <w:color w:val="auto"/>
          <w:lang w:val="en-GB"/>
        </w:rPr>
        <w:t>Plating of Cu or stacks of Ni/Cu/Ag is a well-known technology in PV industry. This article shows in</w:t>
      </w:r>
      <w:r>
        <w:rPr>
          <w:color w:val="auto"/>
          <w:lang w:val="en-GB"/>
        </w:rPr>
        <w:t xml:space="preserve"> </w:t>
      </w:r>
      <w:r w:rsidRPr="000B06E7">
        <w:rPr>
          <w:color w:val="auto"/>
          <w:lang w:val="en-GB"/>
        </w:rPr>
        <w:t>the following that plated Cu contacts align well with all back-end technology requirements of</w:t>
      </w:r>
      <w:r>
        <w:rPr>
          <w:color w:val="auto"/>
          <w:lang w:val="en-GB"/>
        </w:rPr>
        <w:t xml:space="preserve"> </w:t>
      </w:r>
      <w:r w:rsidRPr="000B06E7">
        <w:rPr>
          <w:color w:val="auto"/>
          <w:lang w:val="en-GB"/>
        </w:rPr>
        <w:t>TOPCon and SHJ solar cells. Plating technology holds the potential to significantly reduce production</w:t>
      </w:r>
      <w:r>
        <w:rPr>
          <w:color w:val="auto"/>
          <w:lang w:val="en-GB"/>
        </w:rPr>
        <w:t xml:space="preserve"> </w:t>
      </w:r>
      <w:r w:rsidRPr="000B06E7">
        <w:rPr>
          <w:color w:val="auto"/>
          <w:lang w:val="en-GB"/>
        </w:rPr>
        <w:t>costs for passivated contact solar cells. The main advantages of plated Cu contacts for these solar cell</w:t>
      </w:r>
      <w:r>
        <w:rPr>
          <w:color w:val="auto"/>
          <w:lang w:val="en-GB"/>
        </w:rPr>
        <w:t xml:space="preserve"> </w:t>
      </w:r>
      <w:r w:rsidRPr="000B06E7">
        <w:rPr>
          <w:color w:val="auto"/>
          <w:lang w:val="en-GB"/>
        </w:rPr>
        <w:t>designs are:</w:t>
      </w:r>
    </w:p>
    <w:p w14:paraId="36244E16" w14:textId="70A324F1" w:rsidR="000B06E7" w:rsidRPr="000B06E7" w:rsidRDefault="000B06E7" w:rsidP="000B06E7">
      <w:pPr>
        <w:pStyle w:val="Abstract-Text"/>
        <w:numPr>
          <w:ilvl w:val="0"/>
          <w:numId w:val="4"/>
        </w:numPr>
        <w:rPr>
          <w:color w:val="auto"/>
          <w:lang w:val="en-GB"/>
        </w:rPr>
      </w:pPr>
      <w:r w:rsidRPr="000B06E7">
        <w:rPr>
          <w:color w:val="auto"/>
          <w:lang w:val="en-GB"/>
        </w:rPr>
        <w:t>Low cost of ownership</w:t>
      </w:r>
    </w:p>
    <w:p w14:paraId="29D47FBB" w14:textId="71CE0877" w:rsidR="000B06E7" w:rsidRPr="000B06E7" w:rsidRDefault="000B06E7" w:rsidP="000B06E7">
      <w:pPr>
        <w:pStyle w:val="Abstract-Text"/>
        <w:numPr>
          <w:ilvl w:val="1"/>
          <w:numId w:val="4"/>
        </w:numPr>
        <w:rPr>
          <w:color w:val="auto"/>
          <w:lang w:val="en-GB"/>
        </w:rPr>
      </w:pPr>
      <w:r w:rsidRPr="000B06E7">
        <w:rPr>
          <w:color w:val="auto"/>
          <w:lang w:val="en-GB"/>
        </w:rPr>
        <w:t>Low material costs</w:t>
      </w:r>
    </w:p>
    <w:p w14:paraId="5834E553" w14:textId="0827C3BB" w:rsidR="000B06E7" w:rsidRPr="000B06E7" w:rsidRDefault="000B06E7" w:rsidP="000B06E7">
      <w:pPr>
        <w:pStyle w:val="Abstract-Text"/>
        <w:numPr>
          <w:ilvl w:val="1"/>
          <w:numId w:val="4"/>
        </w:numPr>
        <w:rPr>
          <w:color w:val="auto"/>
          <w:lang w:val="en-GB"/>
        </w:rPr>
      </w:pPr>
      <w:r w:rsidRPr="000B06E7">
        <w:rPr>
          <w:color w:val="auto"/>
          <w:lang w:val="en-GB"/>
        </w:rPr>
        <w:t>Enabling synergetic cost reductions such as TOPCon thickness reduction</w:t>
      </w:r>
    </w:p>
    <w:p w14:paraId="004E8A6E" w14:textId="578274F1" w:rsidR="000B06E7" w:rsidRPr="000B06E7" w:rsidRDefault="000B06E7" w:rsidP="000B06E7">
      <w:pPr>
        <w:pStyle w:val="Abstract-Text"/>
        <w:numPr>
          <w:ilvl w:val="0"/>
          <w:numId w:val="4"/>
        </w:numPr>
        <w:rPr>
          <w:color w:val="auto"/>
          <w:lang w:val="en-GB"/>
        </w:rPr>
      </w:pPr>
      <w:r w:rsidRPr="000B06E7">
        <w:rPr>
          <w:color w:val="auto"/>
          <w:lang w:val="en-GB"/>
        </w:rPr>
        <w:t>Compatible with existing mass production back-end tool equipment</w:t>
      </w:r>
    </w:p>
    <w:p w14:paraId="6021594D" w14:textId="110253AA" w:rsidR="000B06E7" w:rsidRPr="000B06E7" w:rsidRDefault="000B06E7" w:rsidP="000B06E7">
      <w:pPr>
        <w:pStyle w:val="Abstract-Text"/>
        <w:numPr>
          <w:ilvl w:val="0"/>
          <w:numId w:val="4"/>
        </w:numPr>
        <w:rPr>
          <w:color w:val="auto"/>
          <w:lang w:val="en-GB"/>
        </w:rPr>
      </w:pPr>
      <w:r w:rsidRPr="000B06E7">
        <w:rPr>
          <w:color w:val="auto"/>
          <w:lang w:val="en-GB"/>
        </w:rPr>
        <w:t>Potential for efficiency gain</w:t>
      </w:r>
    </w:p>
    <w:p w14:paraId="7A6BD9C7" w14:textId="788C9234" w:rsidR="000B06E7" w:rsidRPr="000B06E7" w:rsidRDefault="000B06E7" w:rsidP="000B06E7">
      <w:pPr>
        <w:pStyle w:val="Abstract-Text"/>
        <w:numPr>
          <w:ilvl w:val="1"/>
          <w:numId w:val="4"/>
        </w:numPr>
        <w:rPr>
          <w:color w:val="auto"/>
          <w:lang w:val="en-GB"/>
        </w:rPr>
      </w:pPr>
      <w:r w:rsidRPr="000B06E7">
        <w:rPr>
          <w:color w:val="auto"/>
          <w:lang w:val="en-GB"/>
        </w:rPr>
        <w:lastRenderedPageBreak/>
        <w:t>Narrow contact width</w:t>
      </w:r>
    </w:p>
    <w:p w14:paraId="168EAAB8" w14:textId="43D1DAB6" w:rsidR="000B06E7" w:rsidRPr="000B06E7" w:rsidRDefault="000B06E7" w:rsidP="000B06E7">
      <w:pPr>
        <w:pStyle w:val="Abstract-Text"/>
        <w:numPr>
          <w:ilvl w:val="1"/>
          <w:numId w:val="4"/>
        </w:numPr>
        <w:rPr>
          <w:color w:val="auto"/>
          <w:lang w:val="en-GB"/>
        </w:rPr>
      </w:pPr>
      <w:r w:rsidRPr="000B06E7">
        <w:rPr>
          <w:color w:val="auto"/>
          <w:lang w:val="en-GB"/>
        </w:rPr>
        <w:t>Highly conductive finger at low process temperatures</w:t>
      </w:r>
    </w:p>
    <w:p w14:paraId="7968290C" w14:textId="64C061D7" w:rsidR="006D721A" w:rsidRPr="00CD2102" w:rsidRDefault="000B06E7" w:rsidP="000B06E7">
      <w:pPr>
        <w:pStyle w:val="Abstract-Text"/>
        <w:numPr>
          <w:ilvl w:val="1"/>
          <w:numId w:val="4"/>
        </w:numPr>
        <w:rPr>
          <w:lang w:val="en-GB"/>
        </w:rPr>
      </w:pPr>
      <w:r w:rsidRPr="000B06E7">
        <w:rPr>
          <w:color w:val="auto"/>
          <w:lang w:val="en-GB"/>
        </w:rPr>
        <w:t>Low contact resistance and contact recombination</w:t>
      </w:r>
    </w:p>
    <w:p w14:paraId="539DE35F" w14:textId="585F9E4F" w:rsidR="006D721A" w:rsidRPr="00DB6928" w:rsidRDefault="006D721A" w:rsidP="00FC6855">
      <w:pPr>
        <w:pStyle w:val="Abstract-Heading1"/>
      </w:pPr>
      <w:r>
        <w:t>Experimental</w:t>
      </w:r>
    </w:p>
    <w:p w14:paraId="0F1F57B9" w14:textId="782D9772" w:rsidR="006D721A" w:rsidRDefault="000B06E7" w:rsidP="000B06E7">
      <w:pPr>
        <w:pStyle w:val="Abstract-Text"/>
        <w:rPr>
          <w:lang w:val="en-GB"/>
        </w:rPr>
      </w:pPr>
      <w:r w:rsidRPr="000B06E7">
        <w:rPr>
          <w:lang w:val="en-GB"/>
        </w:rPr>
        <w:t>The process sequence shown in Figure 2 is an industrially feasible approach to integrate plated</w:t>
      </w:r>
      <w:r>
        <w:rPr>
          <w:lang w:val="en-GB"/>
        </w:rPr>
        <w:t xml:space="preserve"> </w:t>
      </w:r>
      <w:r w:rsidRPr="000B06E7">
        <w:rPr>
          <w:lang w:val="en-GB"/>
        </w:rPr>
        <w:t xml:space="preserve">Ni/Cu/Ag metal contacts in </w:t>
      </w:r>
      <w:proofErr w:type="spellStart"/>
      <w:r w:rsidRPr="000B06E7">
        <w:rPr>
          <w:lang w:val="en-GB"/>
        </w:rPr>
        <w:t>i</w:t>
      </w:r>
      <w:proofErr w:type="spellEnd"/>
      <w:r w:rsidRPr="000B06E7">
        <w:rPr>
          <w:lang w:val="en-GB"/>
        </w:rPr>
        <w:t xml:space="preserve">-TOPCon solar cells. The contact metallization can either be a </w:t>
      </w:r>
      <w:r>
        <w:rPr>
          <w:lang w:val="en-GB"/>
        </w:rPr>
        <w:t xml:space="preserve">Bifacially </w:t>
      </w:r>
      <w:r w:rsidRPr="000B06E7">
        <w:rPr>
          <w:lang w:val="en-GB"/>
        </w:rPr>
        <w:t xml:space="preserve">plated contact design or a combination of plated and screen printed contacts. </w:t>
      </w:r>
      <w:r w:rsidR="00F92517">
        <w:rPr>
          <w:lang w:val="en-GB"/>
        </w:rPr>
        <w:t>Table1</w:t>
      </w:r>
      <w:r w:rsidRPr="000B06E7">
        <w:rPr>
          <w:lang w:val="en-GB"/>
        </w:rPr>
        <w:t xml:space="preserve"> shows three</w:t>
      </w:r>
      <w:r>
        <w:rPr>
          <w:lang w:val="en-GB"/>
        </w:rPr>
        <w:t xml:space="preserve"> </w:t>
      </w:r>
      <w:r w:rsidRPr="000B06E7">
        <w:rPr>
          <w:lang w:val="en-GB"/>
        </w:rPr>
        <w:t>back-end sequences with either plated metal contacts on the boron emitter, on the TOPCon or on</w:t>
      </w:r>
      <w:r>
        <w:rPr>
          <w:lang w:val="en-GB"/>
        </w:rPr>
        <w:t xml:space="preserve"> </w:t>
      </w:r>
      <w:r w:rsidRPr="000B06E7">
        <w:rPr>
          <w:lang w:val="en-GB"/>
        </w:rPr>
        <w:t>both sides. Hybrid designs refer to combinations of screen printed and plated contacts on either side</w:t>
      </w:r>
      <w:r>
        <w:rPr>
          <w:lang w:val="en-GB"/>
        </w:rPr>
        <w:t xml:space="preserve"> </w:t>
      </w:r>
      <w:r w:rsidRPr="000B06E7">
        <w:rPr>
          <w:lang w:val="en-GB"/>
        </w:rPr>
        <w:t>of the solar cell.</w:t>
      </w:r>
      <w:r w:rsidR="00DD0074">
        <w:rPr>
          <w:lang w:val="en-GB"/>
        </w:rPr>
        <w:t xml:space="preserve"> </w:t>
      </w:r>
    </w:p>
    <w:p w14:paraId="205CFA78" w14:textId="682FFD1A" w:rsidR="00DD0074" w:rsidRDefault="00DD0074" w:rsidP="000B06E7">
      <w:pPr>
        <w:pStyle w:val="Abstract-Text"/>
        <w:rPr>
          <w:lang w:val="en-GB"/>
        </w:rPr>
      </w:pPr>
    </w:p>
    <w:p w14:paraId="35E60143" w14:textId="39480CA9" w:rsidR="00855579" w:rsidRPr="00F92517" w:rsidRDefault="00855579" w:rsidP="00855579">
      <w:pPr>
        <w:pStyle w:val="Beschriftung"/>
        <w:keepNext/>
        <w:jc w:val="both"/>
        <w:rPr>
          <w:lang w:val="en-US"/>
        </w:rPr>
      </w:pPr>
      <w:r w:rsidRPr="00F92517">
        <w:rPr>
          <w:lang w:val="en-US"/>
        </w:rPr>
        <w:t xml:space="preserve">Table </w:t>
      </w:r>
      <w:r>
        <w:fldChar w:fldCharType="begin"/>
      </w:r>
      <w:r w:rsidRPr="00F92517">
        <w:rPr>
          <w:lang w:val="en-US"/>
        </w:rPr>
        <w:instrText xml:space="preserve"> SEQ Table \* ARABIC </w:instrText>
      </w:r>
      <w:r>
        <w:fldChar w:fldCharType="separate"/>
      </w:r>
      <w:r w:rsidR="00F92517">
        <w:rPr>
          <w:noProof/>
          <w:lang w:val="en-US"/>
        </w:rPr>
        <w:t>1</w:t>
      </w:r>
      <w:r>
        <w:fldChar w:fldCharType="end"/>
      </w:r>
      <w:r w:rsidRPr="00F92517">
        <w:rPr>
          <w:lang w:val="en-US"/>
        </w:rPr>
        <w:t xml:space="preserve">: </w:t>
      </w:r>
      <w:r w:rsidR="00F92517" w:rsidRPr="00F92517">
        <w:rPr>
          <w:lang w:val="en-US"/>
        </w:rPr>
        <w:t xml:space="preserve">Testes Back-End Designs on n-PERT cells with a TOPCon backside. </w:t>
      </w:r>
      <w:proofErr w:type="spellStart"/>
      <w:r w:rsidR="00F92517">
        <w:rPr>
          <w:lang w:val="en-US"/>
        </w:rPr>
        <w:t>NiCuAg</w:t>
      </w:r>
      <w:proofErr w:type="spellEnd"/>
      <w:r w:rsidR="00F92517">
        <w:rPr>
          <w:lang w:val="en-US"/>
        </w:rPr>
        <w:t xml:space="preserve"> plating is replacing Ag screen printing only on front and rear and on both sides. </w:t>
      </w:r>
    </w:p>
    <w:p w14:paraId="140DC8E2" w14:textId="47A91096" w:rsidR="00DD0074" w:rsidRDefault="00855579" w:rsidP="000B06E7">
      <w:pPr>
        <w:pStyle w:val="Abstract-Text"/>
        <w:rPr>
          <w:i/>
          <w:szCs w:val="24"/>
          <w:lang w:val="en-GB"/>
        </w:rPr>
      </w:pPr>
      <w:r w:rsidRPr="00855579">
        <w:rPr>
          <w:noProof/>
          <w:lang w:val="de-DE"/>
        </w:rPr>
        <w:drawing>
          <wp:inline distT="0" distB="0" distL="0" distR="0" wp14:anchorId="2BDE5E11" wp14:editId="19F42B16">
            <wp:extent cx="5580380" cy="802764"/>
            <wp:effectExtent l="0" t="0" r="127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80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18A66" w14:textId="0817DB57" w:rsidR="006D721A" w:rsidRDefault="000B06E7" w:rsidP="000B06E7">
      <w:pPr>
        <w:pStyle w:val="Abstract-Text"/>
        <w:spacing w:before="120" w:after="120"/>
        <w:rPr>
          <w:lang w:val="en-GB"/>
        </w:rPr>
      </w:pPr>
      <w:r w:rsidRPr="000B06E7">
        <w:rPr>
          <w:lang w:val="en-GB"/>
        </w:rPr>
        <w:t>The</w:t>
      </w:r>
      <w:r>
        <w:rPr>
          <w:lang w:val="en-GB"/>
        </w:rPr>
        <w:t xml:space="preserve"> </w:t>
      </w:r>
      <w:r w:rsidRPr="000B06E7">
        <w:rPr>
          <w:lang w:val="en-GB"/>
        </w:rPr>
        <w:t>precursors are taken out of the regular mass production line and are optimized for screen printed</w:t>
      </w:r>
      <w:r>
        <w:rPr>
          <w:lang w:val="en-GB"/>
        </w:rPr>
        <w:t xml:space="preserve"> </w:t>
      </w:r>
      <w:r w:rsidRPr="000B06E7">
        <w:rPr>
          <w:lang w:val="en-GB"/>
        </w:rPr>
        <w:t>metallization. There were no specific changes in design or processing for all precursors before</w:t>
      </w:r>
      <w:r>
        <w:rPr>
          <w:lang w:val="en-GB"/>
        </w:rPr>
        <w:t xml:space="preserve"> </w:t>
      </w:r>
      <w:r w:rsidRPr="000B06E7">
        <w:rPr>
          <w:lang w:val="en-GB"/>
        </w:rPr>
        <w:t xml:space="preserve">metallization. The reference group with </w:t>
      </w:r>
      <w:proofErr w:type="spellStart"/>
      <w:r w:rsidRPr="000B06E7">
        <w:rPr>
          <w:lang w:val="en-GB"/>
        </w:rPr>
        <w:t>bifacially</w:t>
      </w:r>
      <w:proofErr w:type="spellEnd"/>
      <w:r w:rsidRPr="000B06E7">
        <w:rPr>
          <w:lang w:val="en-GB"/>
        </w:rPr>
        <w:t xml:space="preserve"> screen printed metal contacts was fully processed</w:t>
      </w:r>
      <w:r>
        <w:rPr>
          <w:lang w:val="en-GB"/>
        </w:rPr>
        <w:t xml:space="preserve"> </w:t>
      </w:r>
      <w:r w:rsidRPr="000B06E7">
        <w:rPr>
          <w:lang w:val="en-GB"/>
        </w:rPr>
        <w:t>at the manufacturer’s site. For the hybrid approaches, the screen printing and firing/TOPCon</w:t>
      </w:r>
      <w:r>
        <w:rPr>
          <w:lang w:val="en-GB"/>
        </w:rPr>
        <w:t xml:space="preserve"> </w:t>
      </w:r>
      <w:r w:rsidRPr="000B06E7">
        <w:rPr>
          <w:lang w:val="en-GB"/>
        </w:rPr>
        <w:t>activation was also covered by the manufacturer. The plating metallization for all process groups</w:t>
      </w:r>
      <w:r>
        <w:rPr>
          <w:lang w:val="en-GB"/>
        </w:rPr>
        <w:t xml:space="preserve"> </w:t>
      </w:r>
      <w:r w:rsidRPr="000B06E7">
        <w:rPr>
          <w:lang w:val="en-GB"/>
        </w:rPr>
        <w:t xml:space="preserve">with plated metal contacts was realized </w:t>
      </w:r>
      <w:r>
        <w:rPr>
          <w:lang w:val="en-GB"/>
        </w:rPr>
        <w:t xml:space="preserve">on the RENA </w:t>
      </w:r>
      <w:proofErr w:type="spellStart"/>
      <w:r>
        <w:rPr>
          <w:lang w:val="en-GB"/>
        </w:rPr>
        <w:t>InCellPlate</w:t>
      </w:r>
      <w:proofErr w:type="spellEnd"/>
      <w:r>
        <w:rPr>
          <w:lang w:val="en-GB"/>
        </w:rPr>
        <w:t xml:space="preserve"> platform</w:t>
      </w:r>
      <w:r w:rsidRPr="000B06E7">
        <w:rPr>
          <w:lang w:val="en-GB"/>
        </w:rPr>
        <w:t>.</w:t>
      </w:r>
    </w:p>
    <w:p w14:paraId="769F743C" w14:textId="58B0BBC7" w:rsidR="006D721A" w:rsidRDefault="00C84D79" w:rsidP="00C84D79">
      <w:pPr>
        <w:pStyle w:val="Abstract-Text"/>
        <w:tabs>
          <w:tab w:val="right" w:pos="8760"/>
        </w:tabs>
        <w:spacing w:before="60"/>
        <w:rPr>
          <w:lang w:val="en-GB"/>
        </w:rPr>
      </w:pPr>
      <w:r w:rsidRPr="00C84D79">
        <w:rPr>
          <w:lang w:val="en-GB"/>
        </w:rPr>
        <w:t xml:space="preserve">The TOPCon activation of the bifacial plating precursors was performed at </w:t>
      </w:r>
      <w:proofErr w:type="spellStart"/>
      <w:r w:rsidRPr="00C84D79">
        <w:rPr>
          <w:lang w:val="en-GB"/>
        </w:rPr>
        <w:t>Fr</w:t>
      </w:r>
      <w:bookmarkStart w:id="0" w:name="_GoBack"/>
      <w:bookmarkEnd w:id="0"/>
      <w:r w:rsidRPr="00C84D79">
        <w:rPr>
          <w:lang w:val="en-GB"/>
        </w:rPr>
        <w:t>aunhofer</w:t>
      </w:r>
      <w:proofErr w:type="spellEnd"/>
      <w:r w:rsidRPr="00C84D79">
        <w:rPr>
          <w:lang w:val="en-GB"/>
        </w:rPr>
        <w:t xml:space="preserve"> ISE. Since the</w:t>
      </w:r>
      <w:r>
        <w:rPr>
          <w:lang w:val="en-GB"/>
        </w:rPr>
        <w:t xml:space="preserve"> </w:t>
      </w:r>
      <w:r w:rsidRPr="00C84D79">
        <w:rPr>
          <w:lang w:val="en-GB"/>
        </w:rPr>
        <w:t xml:space="preserve">FFO/TOPCon activation process at </w:t>
      </w:r>
      <w:proofErr w:type="spellStart"/>
      <w:r w:rsidRPr="00C84D79">
        <w:rPr>
          <w:lang w:val="en-GB"/>
        </w:rPr>
        <w:t>Fraunhofer</w:t>
      </w:r>
      <w:proofErr w:type="spellEnd"/>
      <w:r w:rsidRPr="00C84D79">
        <w:rPr>
          <w:lang w:val="en-GB"/>
        </w:rPr>
        <w:t xml:space="preserve"> ISE was not optimized for these precursors the implied</w:t>
      </w:r>
      <w:r>
        <w:rPr>
          <w:lang w:val="en-GB"/>
        </w:rPr>
        <w:t xml:space="preserve"> </w:t>
      </w:r>
      <w:proofErr w:type="spellStart"/>
      <w:r w:rsidRPr="00C84D79">
        <w:rPr>
          <w:lang w:val="en-GB"/>
        </w:rPr>
        <w:t>Voc</w:t>
      </w:r>
      <w:proofErr w:type="spellEnd"/>
      <w:r w:rsidRPr="00C84D79">
        <w:rPr>
          <w:lang w:val="en-GB"/>
        </w:rPr>
        <w:t xml:space="preserve"> (cell’s </w:t>
      </w:r>
      <w:proofErr w:type="spellStart"/>
      <w:r w:rsidRPr="00C84D79">
        <w:rPr>
          <w:lang w:val="en-GB"/>
        </w:rPr>
        <w:t>Voc</w:t>
      </w:r>
      <w:proofErr w:type="spellEnd"/>
      <w:r w:rsidRPr="00C84D79">
        <w:rPr>
          <w:lang w:val="en-GB"/>
        </w:rPr>
        <w:t xml:space="preserve"> potential before metallization) was about 5-10 mV below the optimized FFO/TOPCon</w:t>
      </w:r>
      <w:r>
        <w:rPr>
          <w:lang w:val="en-GB"/>
        </w:rPr>
        <w:t xml:space="preserve"> </w:t>
      </w:r>
      <w:r w:rsidRPr="00C84D79">
        <w:rPr>
          <w:lang w:val="en-GB"/>
        </w:rPr>
        <w:t>activation process at the manufacturers site.</w:t>
      </w:r>
      <w:r>
        <w:rPr>
          <w:lang w:val="en-GB"/>
        </w:rPr>
        <w:t xml:space="preserve"> </w:t>
      </w:r>
    </w:p>
    <w:p w14:paraId="0F209CA2" w14:textId="7125B66F" w:rsidR="00C84D79" w:rsidRDefault="00C84D79" w:rsidP="00C84D79">
      <w:pPr>
        <w:pStyle w:val="Abstract-Text"/>
        <w:tabs>
          <w:tab w:val="right" w:pos="8760"/>
        </w:tabs>
        <w:spacing w:before="60"/>
        <w:rPr>
          <w:lang w:val="en-GB"/>
        </w:rPr>
      </w:pPr>
    </w:p>
    <w:p w14:paraId="4ED4BA62" w14:textId="052A8DB4" w:rsidR="00C84D79" w:rsidRDefault="00A30522" w:rsidP="00C84D79">
      <w:pPr>
        <w:pStyle w:val="Abstract-Text"/>
        <w:tabs>
          <w:tab w:val="right" w:pos="8760"/>
        </w:tabs>
        <w:spacing w:before="60"/>
        <w:rPr>
          <w:lang w:val="en-GB"/>
        </w:rPr>
      </w:pPr>
      <w:r>
        <w:rPr>
          <w:lang w:val="en-GB"/>
        </w:rPr>
        <w:t>Table 2</w:t>
      </w:r>
      <w:r w:rsidR="00C84D79" w:rsidRPr="00C84D79">
        <w:rPr>
          <w:lang w:val="en-GB"/>
        </w:rPr>
        <w:t xml:space="preserve"> shows measured IV parameters of the fabricated </w:t>
      </w:r>
      <w:proofErr w:type="spellStart"/>
      <w:r w:rsidR="00C84D79" w:rsidRPr="00C84D79">
        <w:rPr>
          <w:lang w:val="en-GB"/>
        </w:rPr>
        <w:t>i</w:t>
      </w:r>
      <w:proofErr w:type="spellEnd"/>
      <w:r w:rsidR="00C84D79" w:rsidRPr="00C84D79">
        <w:rPr>
          <w:lang w:val="en-GB"/>
        </w:rPr>
        <w:t>-TOPCon solar cells. The measurements</w:t>
      </w:r>
      <w:r w:rsidR="00C84D79">
        <w:rPr>
          <w:lang w:val="en-GB"/>
        </w:rPr>
        <w:t xml:space="preserve"> </w:t>
      </w:r>
      <w:r w:rsidR="00C84D79" w:rsidRPr="00C84D79">
        <w:rPr>
          <w:lang w:val="en-GB"/>
        </w:rPr>
        <w:t xml:space="preserve">were performed using a 145x145 mm² shadow mask because of edge </w:t>
      </w:r>
      <w:proofErr w:type="spellStart"/>
      <w:r w:rsidR="00C84D79" w:rsidRPr="00C84D79">
        <w:rPr>
          <w:lang w:val="en-GB"/>
        </w:rPr>
        <w:t>artifacts</w:t>
      </w:r>
      <w:proofErr w:type="spellEnd"/>
      <w:r w:rsidR="00C84D79" w:rsidRPr="00C84D79">
        <w:rPr>
          <w:lang w:val="en-GB"/>
        </w:rPr>
        <w:t xml:space="preserve"> due to shipping and</w:t>
      </w:r>
      <w:r w:rsidR="00C84D79">
        <w:rPr>
          <w:lang w:val="en-GB"/>
        </w:rPr>
        <w:t xml:space="preserve"> </w:t>
      </w:r>
      <w:r w:rsidR="00C84D79" w:rsidRPr="00C84D79">
        <w:rPr>
          <w:lang w:val="en-GB"/>
        </w:rPr>
        <w:t>manual handling. All process groups reach mean cell efficiencies between 22.3-22.7%. The screen</w:t>
      </w:r>
      <w:r w:rsidR="00C84D79">
        <w:rPr>
          <w:lang w:val="en-GB"/>
        </w:rPr>
        <w:t xml:space="preserve"> </w:t>
      </w:r>
      <w:r w:rsidR="00C84D79" w:rsidRPr="00C84D79">
        <w:rPr>
          <w:lang w:val="en-GB"/>
        </w:rPr>
        <w:t>printed reference achieves a best solar cell efficiency of 22.7%. The back-end groups with</w:t>
      </w:r>
      <w:r w:rsidR="00C84D79">
        <w:rPr>
          <w:lang w:val="en-GB"/>
        </w:rPr>
        <w:t xml:space="preserve"> </w:t>
      </w:r>
      <w:r w:rsidR="00C84D79" w:rsidRPr="00C84D79">
        <w:rPr>
          <w:lang w:val="en-GB"/>
        </w:rPr>
        <w:t>combinations of screen printing and plating Hybrid 1 &amp; 2 show best cell efficiencies of 22.4% and</w:t>
      </w:r>
      <w:r w:rsidR="00C84D79">
        <w:rPr>
          <w:lang w:val="en-GB"/>
        </w:rPr>
        <w:t xml:space="preserve"> </w:t>
      </w:r>
      <w:r w:rsidR="00C84D79" w:rsidRPr="00C84D79">
        <w:rPr>
          <w:lang w:val="en-GB"/>
        </w:rPr>
        <w:t>22.7%, respectively. The more detailed analysis in the following sections reveals that even for the</w:t>
      </w:r>
      <w:r w:rsidR="00C84D79">
        <w:rPr>
          <w:lang w:val="en-GB"/>
        </w:rPr>
        <w:t xml:space="preserve"> </w:t>
      </w:r>
      <w:r w:rsidR="00C84D79" w:rsidRPr="00C84D79">
        <w:rPr>
          <w:lang w:val="en-GB"/>
        </w:rPr>
        <w:t>hybrid groups lowering of contact recombination and narrowed contact width seem to enable</w:t>
      </w:r>
      <w:r w:rsidR="00C84D79">
        <w:rPr>
          <w:lang w:val="en-GB"/>
        </w:rPr>
        <w:t xml:space="preserve"> </w:t>
      </w:r>
      <w:r w:rsidR="00C84D79" w:rsidRPr="00C84D79">
        <w:rPr>
          <w:lang w:val="en-GB"/>
        </w:rPr>
        <w:t xml:space="preserve">improvements in </w:t>
      </w:r>
      <w:proofErr w:type="spellStart"/>
      <w:r w:rsidR="00C84D79" w:rsidRPr="00C84D79">
        <w:rPr>
          <w:lang w:val="en-GB"/>
        </w:rPr>
        <w:t>Voc</w:t>
      </w:r>
      <w:proofErr w:type="spellEnd"/>
      <w:r w:rsidR="00C84D79" w:rsidRPr="00C84D79">
        <w:rPr>
          <w:lang w:val="en-GB"/>
        </w:rPr>
        <w:t xml:space="preserve"> and </w:t>
      </w:r>
      <w:proofErr w:type="spellStart"/>
      <w:r w:rsidR="00C84D79" w:rsidRPr="00C84D79">
        <w:rPr>
          <w:lang w:val="en-GB"/>
        </w:rPr>
        <w:t>Jsc</w:t>
      </w:r>
      <w:proofErr w:type="spellEnd"/>
      <w:r w:rsidR="00C84D79" w:rsidRPr="00C84D79">
        <w:rPr>
          <w:lang w:val="en-GB"/>
        </w:rPr>
        <w:t>. However, these improvements are statistically not significant in this</w:t>
      </w:r>
      <w:r w:rsidR="00C84D79">
        <w:rPr>
          <w:lang w:val="en-GB"/>
        </w:rPr>
        <w:t xml:space="preserve"> </w:t>
      </w:r>
      <w:r w:rsidR="00C84D79" w:rsidRPr="00C84D79">
        <w:rPr>
          <w:lang w:val="en-GB"/>
        </w:rPr>
        <w:t>experiment due to small sample/group size and large spreading of the results in each group.</w:t>
      </w:r>
      <w:r w:rsidR="00C84D79">
        <w:rPr>
          <w:lang w:val="en-GB"/>
        </w:rPr>
        <w:t xml:space="preserve"> </w:t>
      </w:r>
      <w:r w:rsidR="00C84D79" w:rsidRPr="00C84D79">
        <w:rPr>
          <w:lang w:val="en-GB"/>
        </w:rPr>
        <w:t xml:space="preserve">The </w:t>
      </w:r>
      <w:proofErr w:type="spellStart"/>
      <w:r w:rsidR="00C84D79" w:rsidRPr="00C84D79">
        <w:rPr>
          <w:lang w:val="en-GB"/>
        </w:rPr>
        <w:t>bifacially</w:t>
      </w:r>
      <w:proofErr w:type="spellEnd"/>
      <w:r w:rsidR="00C84D79" w:rsidRPr="00C84D79">
        <w:rPr>
          <w:lang w:val="en-GB"/>
        </w:rPr>
        <w:t xml:space="preserve"> plated group demonstrates a best cell efficiency of 22.7%. The decreased shading</w:t>
      </w:r>
      <w:r w:rsidR="00F92517">
        <w:rPr>
          <w:lang w:val="en-GB"/>
        </w:rPr>
        <w:t xml:space="preserve"> </w:t>
      </w:r>
      <w:r w:rsidR="00C84D79" w:rsidRPr="00C84D79">
        <w:rPr>
          <w:lang w:val="en-GB"/>
        </w:rPr>
        <w:t xml:space="preserve">fraction due to narrow contact width of 25 </w:t>
      </w:r>
      <w:proofErr w:type="spellStart"/>
      <w:r w:rsidR="00C84D79" w:rsidRPr="00C84D79">
        <w:rPr>
          <w:lang w:val="en-GB"/>
        </w:rPr>
        <w:t>μm</w:t>
      </w:r>
      <w:proofErr w:type="spellEnd"/>
      <w:r w:rsidR="00C84D79" w:rsidRPr="00C84D79">
        <w:rPr>
          <w:lang w:val="en-GB"/>
        </w:rPr>
        <w:t xml:space="preserve"> leading to </w:t>
      </w:r>
      <w:proofErr w:type="spellStart"/>
      <w:r w:rsidR="00C84D79" w:rsidRPr="00C84D79">
        <w:rPr>
          <w:lang w:val="en-GB"/>
        </w:rPr>
        <w:t>inceased</w:t>
      </w:r>
      <w:proofErr w:type="spellEnd"/>
      <w:r w:rsidR="00C84D79" w:rsidRPr="00C84D79">
        <w:rPr>
          <w:lang w:val="en-GB"/>
        </w:rPr>
        <w:t xml:space="preserve"> </w:t>
      </w:r>
      <w:proofErr w:type="spellStart"/>
      <w:r w:rsidR="00C84D79" w:rsidRPr="00C84D79">
        <w:rPr>
          <w:lang w:val="en-GB"/>
        </w:rPr>
        <w:t>Jsc</w:t>
      </w:r>
      <w:proofErr w:type="spellEnd"/>
      <w:r w:rsidR="00C84D79" w:rsidRPr="00C84D79">
        <w:rPr>
          <w:lang w:val="en-GB"/>
        </w:rPr>
        <w:t xml:space="preserve"> compared to the process</w:t>
      </w:r>
      <w:r w:rsidR="00C84D79">
        <w:rPr>
          <w:lang w:val="en-GB"/>
        </w:rPr>
        <w:t xml:space="preserve"> </w:t>
      </w:r>
      <w:r w:rsidR="00C84D79" w:rsidRPr="00C84D79">
        <w:rPr>
          <w:lang w:val="en-GB"/>
        </w:rPr>
        <w:t>groups with screen printed front side contacts.</w:t>
      </w:r>
    </w:p>
    <w:p w14:paraId="179F097A" w14:textId="77777777" w:rsidR="00F92517" w:rsidRPr="00F92517" w:rsidRDefault="00F92517" w:rsidP="00F92517">
      <w:pPr>
        <w:pStyle w:val="Beschriftung"/>
        <w:keepNext/>
        <w:jc w:val="both"/>
        <w:rPr>
          <w:lang w:val="en-US"/>
        </w:rPr>
      </w:pPr>
    </w:p>
    <w:p w14:paraId="351A2BA5" w14:textId="3E165389" w:rsidR="006D721A" w:rsidRDefault="006D721A" w:rsidP="006D721A">
      <w:pPr>
        <w:pStyle w:val="Abstract-Text"/>
        <w:tabs>
          <w:tab w:val="clear" w:pos="8520"/>
          <w:tab w:val="right" w:pos="8760"/>
        </w:tabs>
        <w:spacing w:before="60"/>
        <w:rPr>
          <w:lang w:val="en-GB"/>
        </w:rPr>
      </w:pPr>
    </w:p>
    <w:p w14:paraId="60F2AABD" w14:textId="588CFA90" w:rsidR="005347CB" w:rsidRDefault="005347CB" w:rsidP="006D721A">
      <w:pPr>
        <w:pStyle w:val="Abstract-Text"/>
        <w:tabs>
          <w:tab w:val="clear" w:pos="8520"/>
          <w:tab w:val="right" w:pos="8760"/>
        </w:tabs>
        <w:spacing w:before="60"/>
        <w:rPr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2"/>
        <w:gridCol w:w="4386"/>
      </w:tblGrid>
      <w:tr w:rsidR="005347CB" w:rsidRPr="00F914B1" w14:paraId="3C3EDEAB" w14:textId="77777777" w:rsidTr="004503B1">
        <w:tc>
          <w:tcPr>
            <w:tcW w:w="4389" w:type="dxa"/>
          </w:tcPr>
          <w:p w14:paraId="11AF0098" w14:textId="6241986F" w:rsidR="005347CB" w:rsidRDefault="005347CB" w:rsidP="005347CB">
            <w:pPr>
              <w:pStyle w:val="Beschriftung"/>
              <w:keepNext/>
              <w:jc w:val="both"/>
              <w:rPr>
                <w:lang w:val="en-GB"/>
              </w:rPr>
            </w:pPr>
            <w:r w:rsidRPr="00F92517">
              <w:rPr>
                <w:lang w:val="en-US"/>
              </w:rPr>
              <w:lastRenderedPageBreak/>
              <w:t xml:space="preserve">Table </w:t>
            </w:r>
            <w:r>
              <w:fldChar w:fldCharType="begin"/>
            </w:r>
            <w:r w:rsidRPr="00F92517">
              <w:rPr>
                <w:lang w:val="en-US"/>
              </w:rPr>
              <w:instrText xml:space="preserve"> SEQ Table \* ARABIC </w:instrText>
            </w:r>
            <w:r>
              <w:fldChar w:fldCharType="separate"/>
            </w:r>
            <w:r w:rsidRPr="00F92517">
              <w:rPr>
                <w:noProof/>
                <w:lang w:val="en-US"/>
              </w:rPr>
              <w:t>2</w:t>
            </w:r>
            <w:r>
              <w:fldChar w:fldCharType="end"/>
            </w:r>
            <w:r w:rsidRPr="00F92517">
              <w:rPr>
                <w:lang w:val="en-US"/>
              </w:rPr>
              <w:t>: Cell efficiencie</w:t>
            </w:r>
            <w:r>
              <w:rPr>
                <w:lang w:val="en-US"/>
              </w:rPr>
              <w:t xml:space="preserve">s of </w:t>
            </w:r>
            <w:proofErr w:type="spellStart"/>
            <w:r>
              <w:rPr>
                <w:lang w:val="en-US"/>
              </w:rPr>
              <w:t>differnt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BackEnd</w:t>
            </w:r>
            <w:proofErr w:type="spellEnd"/>
            <w:r>
              <w:rPr>
                <w:lang w:val="en-US"/>
              </w:rPr>
              <w:t xml:space="preserve"> designs of the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-TOPCon cells. </w:t>
            </w:r>
            <w:r>
              <w:rPr>
                <w:noProof/>
              </w:rPr>
              <w:drawing>
                <wp:inline distT="0" distB="0" distL="0" distR="0" wp14:anchorId="21087519" wp14:editId="7A0FDC9A">
                  <wp:extent cx="2686050" cy="1719399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672" cy="17306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1D33580" w14:textId="01B68AF5" w:rsidR="005347CB" w:rsidRDefault="005347CB" w:rsidP="006D721A">
            <w:pPr>
              <w:pStyle w:val="Abstract-Text"/>
              <w:tabs>
                <w:tab w:val="clear" w:pos="8520"/>
                <w:tab w:val="right" w:pos="8760"/>
              </w:tabs>
              <w:spacing w:before="60"/>
              <w:ind w:firstLine="0"/>
              <w:rPr>
                <w:lang w:val="en-GB"/>
              </w:rPr>
            </w:pPr>
          </w:p>
        </w:tc>
        <w:tc>
          <w:tcPr>
            <w:tcW w:w="4389" w:type="dxa"/>
          </w:tcPr>
          <w:p w14:paraId="7FB46EA2" w14:textId="77777777" w:rsidR="005347CB" w:rsidRDefault="005347CB" w:rsidP="005347CB">
            <w:pPr>
              <w:pStyle w:val="Abstract-Text"/>
              <w:keepNext/>
              <w:tabs>
                <w:tab w:val="clear" w:pos="8520"/>
                <w:tab w:val="right" w:pos="8760"/>
              </w:tabs>
              <w:spacing w:before="60"/>
              <w:ind w:firstLine="0"/>
            </w:pPr>
            <w:r>
              <w:rPr>
                <w:noProof/>
                <w:lang w:val="de-DE"/>
              </w:rPr>
              <w:drawing>
                <wp:inline distT="0" distB="0" distL="0" distR="0" wp14:anchorId="72987D89" wp14:editId="74CE7068">
                  <wp:extent cx="2676462" cy="184785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087" cy="18952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805309E" w14:textId="7FCCC45A" w:rsidR="005347CB" w:rsidRPr="004503B1" w:rsidRDefault="005347CB" w:rsidP="005347CB">
            <w:pPr>
              <w:pStyle w:val="Beschriftung"/>
              <w:jc w:val="both"/>
              <w:rPr>
                <w:lang w:val="en-US"/>
              </w:rPr>
            </w:pPr>
            <w:r w:rsidRPr="004503B1">
              <w:rPr>
                <w:lang w:val="en-US"/>
              </w:rPr>
              <w:t xml:space="preserve">Figure </w:t>
            </w:r>
            <w:r>
              <w:fldChar w:fldCharType="begin"/>
            </w:r>
            <w:r w:rsidRPr="004503B1">
              <w:rPr>
                <w:lang w:val="en-US"/>
              </w:rPr>
              <w:instrText xml:space="preserve"> SEQ Figure \* ARABIC </w:instrText>
            </w:r>
            <w:r>
              <w:fldChar w:fldCharType="separate"/>
            </w:r>
            <w:r w:rsidRPr="004503B1">
              <w:rPr>
                <w:noProof/>
                <w:lang w:val="en-US"/>
              </w:rPr>
              <w:t>1</w:t>
            </w:r>
            <w:r>
              <w:fldChar w:fldCharType="end"/>
            </w:r>
            <w:r w:rsidRPr="004503B1">
              <w:rPr>
                <w:lang w:val="en-US"/>
              </w:rPr>
              <w:t xml:space="preserve">: </w:t>
            </w:r>
            <w:proofErr w:type="spellStart"/>
            <w:r w:rsidRPr="004503B1">
              <w:rPr>
                <w:lang w:val="en-US"/>
              </w:rPr>
              <w:t>CoO</w:t>
            </w:r>
            <w:proofErr w:type="spellEnd"/>
            <w:r w:rsidRPr="004503B1">
              <w:rPr>
                <w:lang w:val="en-US"/>
              </w:rPr>
              <w:t xml:space="preserve"> comparison of </w:t>
            </w:r>
            <w:r w:rsidR="004503B1">
              <w:rPr>
                <w:lang w:val="en-US"/>
              </w:rPr>
              <w:t xml:space="preserve">bifacial </w:t>
            </w:r>
            <w:r w:rsidRPr="004503B1">
              <w:rPr>
                <w:lang w:val="en-US"/>
              </w:rPr>
              <w:t xml:space="preserve">plating cluster </w:t>
            </w:r>
            <w:r w:rsidR="004503B1">
              <w:rPr>
                <w:lang w:val="en-US"/>
              </w:rPr>
              <w:t>and bifacial screen printing cluster</w:t>
            </w:r>
          </w:p>
          <w:p w14:paraId="3EB837BB" w14:textId="73A0ED17" w:rsidR="005347CB" w:rsidRDefault="005347CB" w:rsidP="006D721A">
            <w:pPr>
              <w:pStyle w:val="Abstract-Text"/>
              <w:tabs>
                <w:tab w:val="clear" w:pos="8520"/>
                <w:tab w:val="right" w:pos="8760"/>
              </w:tabs>
              <w:spacing w:before="60"/>
              <w:ind w:firstLine="0"/>
              <w:rPr>
                <w:lang w:val="en-GB"/>
              </w:rPr>
            </w:pPr>
          </w:p>
        </w:tc>
      </w:tr>
    </w:tbl>
    <w:p w14:paraId="2141D31C" w14:textId="5181AE91" w:rsidR="006D721A" w:rsidRPr="00D61963" w:rsidRDefault="00F914B1" w:rsidP="006D721A">
      <w:pPr>
        <w:pStyle w:val="Abstract-Heading1"/>
        <w:rPr>
          <w:lang w:val="en-GB"/>
        </w:rPr>
      </w:pPr>
      <w:r>
        <w:rPr>
          <w:lang w:val="en-GB"/>
        </w:rPr>
        <w:t>C</w:t>
      </w:r>
      <w:r w:rsidR="006D721A">
        <w:rPr>
          <w:lang w:val="en-GB"/>
        </w:rPr>
        <w:t>onclusion and Outlook</w:t>
      </w:r>
    </w:p>
    <w:p w14:paraId="0F8E508A" w14:textId="075D86BF" w:rsidR="006D721A" w:rsidRPr="007C2CD4" w:rsidRDefault="00956B8A" w:rsidP="00956B8A">
      <w:pPr>
        <w:pStyle w:val="Abstract-Text"/>
        <w:rPr>
          <w:rFonts w:asciiTheme="minorHAnsi" w:hAnsiTheme="minorHAnsi"/>
          <w:lang w:val="en-GB"/>
        </w:rPr>
      </w:pPr>
      <w:r w:rsidRPr="00956B8A">
        <w:rPr>
          <w:lang w:val="en-GB"/>
        </w:rPr>
        <w:t>Bifacial and hybrid (plating / screen printing) TOPCon solar cells with laser defined and plated</w:t>
      </w:r>
      <w:r>
        <w:rPr>
          <w:lang w:val="en-GB"/>
        </w:rPr>
        <w:t xml:space="preserve"> </w:t>
      </w:r>
      <w:r w:rsidRPr="00956B8A">
        <w:rPr>
          <w:lang w:val="en-GB"/>
        </w:rPr>
        <w:t>Ni/Cu/Ag contacts demonstrate efficiencies up to 22.7% and open paths to further reduce resistive,</w:t>
      </w:r>
      <w:r>
        <w:rPr>
          <w:lang w:val="en-GB"/>
        </w:rPr>
        <w:t xml:space="preserve"> </w:t>
      </w:r>
      <w:r w:rsidRPr="00956B8A">
        <w:rPr>
          <w:lang w:val="en-GB"/>
        </w:rPr>
        <w:t xml:space="preserve">recombination and optical losses of </w:t>
      </w:r>
      <w:proofErr w:type="spellStart"/>
      <w:r w:rsidRPr="00956B8A">
        <w:rPr>
          <w:lang w:val="en-GB"/>
        </w:rPr>
        <w:t>i</w:t>
      </w:r>
      <w:proofErr w:type="spellEnd"/>
      <w:r w:rsidRPr="00956B8A">
        <w:rPr>
          <w:lang w:val="en-GB"/>
        </w:rPr>
        <w:t>-TOPCon solar cells. Low contact resistance and low finger line</w:t>
      </w:r>
      <w:r>
        <w:rPr>
          <w:lang w:val="en-GB"/>
        </w:rPr>
        <w:t xml:space="preserve"> </w:t>
      </w:r>
      <w:r w:rsidRPr="00956B8A">
        <w:rPr>
          <w:lang w:val="en-GB"/>
        </w:rPr>
        <w:t xml:space="preserve">resistivity allow finger width below 25 </w:t>
      </w:r>
      <w:proofErr w:type="spellStart"/>
      <w:r w:rsidRPr="00956B8A">
        <w:rPr>
          <w:lang w:val="en-GB"/>
        </w:rPr>
        <w:t>μm</w:t>
      </w:r>
      <w:proofErr w:type="spellEnd"/>
      <w:r w:rsidRPr="00956B8A">
        <w:rPr>
          <w:lang w:val="en-GB"/>
        </w:rPr>
        <w:t>. Low contact recombination enables TOPCon thickness</w:t>
      </w:r>
      <w:r>
        <w:rPr>
          <w:lang w:val="en-GB"/>
        </w:rPr>
        <w:t xml:space="preserve"> </w:t>
      </w:r>
      <w:r w:rsidRPr="00956B8A">
        <w:rPr>
          <w:lang w:val="en-GB"/>
        </w:rPr>
        <w:t>reduction below 100 nm. Future work will have to estimate the minimum TOPCon thickness which</w:t>
      </w:r>
      <w:r>
        <w:rPr>
          <w:lang w:val="en-GB"/>
        </w:rPr>
        <w:t xml:space="preserve"> </w:t>
      </w:r>
      <w:r w:rsidRPr="00956B8A">
        <w:rPr>
          <w:lang w:val="en-GB"/>
        </w:rPr>
        <w:t>allows low contact recombination for laser defined plated Ni/Cu/Ag contacts.</w:t>
      </w:r>
      <w:r>
        <w:rPr>
          <w:lang w:val="en-GB"/>
        </w:rPr>
        <w:t xml:space="preserve"> </w:t>
      </w:r>
      <w:r w:rsidRPr="00956B8A">
        <w:rPr>
          <w:lang w:val="en-GB"/>
        </w:rPr>
        <w:t>Cost calculations show</w:t>
      </w:r>
      <w:r w:rsidR="004503B1">
        <w:rPr>
          <w:lang w:val="en-GB"/>
        </w:rPr>
        <w:t xml:space="preserve"> (´Figure1)</w:t>
      </w:r>
      <w:r w:rsidRPr="00956B8A">
        <w:rPr>
          <w:lang w:val="en-GB"/>
        </w:rPr>
        <w:t xml:space="preserve"> that the introduction of plated contacts especially as </w:t>
      </w:r>
      <w:proofErr w:type="spellStart"/>
      <w:r w:rsidRPr="00956B8A">
        <w:rPr>
          <w:lang w:val="en-GB"/>
        </w:rPr>
        <w:t>bifacially</w:t>
      </w:r>
      <w:proofErr w:type="spellEnd"/>
      <w:r w:rsidRPr="00956B8A">
        <w:rPr>
          <w:lang w:val="en-GB"/>
        </w:rPr>
        <w:t xml:space="preserve"> plated grid</w:t>
      </w:r>
      <w:r>
        <w:rPr>
          <w:lang w:val="en-GB"/>
        </w:rPr>
        <w:t xml:space="preserve"> </w:t>
      </w:r>
      <w:r w:rsidRPr="00956B8A">
        <w:rPr>
          <w:lang w:val="en-GB"/>
        </w:rPr>
        <w:t>enables to reduce back-end processing cost for TOPCon solar cells. Further cost savings can be</w:t>
      </w:r>
      <w:r>
        <w:rPr>
          <w:lang w:val="en-GB"/>
        </w:rPr>
        <w:t xml:space="preserve"> </w:t>
      </w:r>
      <w:r w:rsidRPr="00956B8A">
        <w:rPr>
          <w:lang w:val="en-GB"/>
        </w:rPr>
        <w:t>achieved by reducing TOPCon layer thickness due to shallow laser damage depths of ultra-short pulse</w:t>
      </w:r>
      <w:r>
        <w:rPr>
          <w:lang w:val="en-GB"/>
        </w:rPr>
        <w:t xml:space="preserve"> </w:t>
      </w:r>
      <w:r w:rsidRPr="00956B8A">
        <w:rPr>
          <w:lang w:val="en-GB"/>
        </w:rPr>
        <w:t>laser ablation.</w:t>
      </w:r>
    </w:p>
    <w:sectPr w:rsidR="006D721A" w:rsidRPr="007C2CD4" w:rsidSect="00541015">
      <w:headerReference w:type="default" r:id="rId11"/>
      <w:footerReference w:type="default" r:id="rId12"/>
      <w:pgSz w:w="11907" w:h="16839" w:code="9"/>
      <w:pgMar w:top="1560" w:right="1418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56AED" w14:textId="77777777" w:rsidR="0016021F" w:rsidRDefault="0016021F">
      <w:r>
        <w:separator/>
      </w:r>
    </w:p>
  </w:endnote>
  <w:endnote w:type="continuationSeparator" w:id="0">
    <w:p w14:paraId="62F21551" w14:textId="77777777" w:rsidR="0016021F" w:rsidRDefault="001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4EFC6" w14:textId="77777777" w:rsidR="00DB6928" w:rsidRDefault="00F914B1" w:rsidP="0078332B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0C5DE" w14:textId="77777777" w:rsidR="0016021F" w:rsidRDefault="0016021F">
      <w:r>
        <w:separator/>
      </w:r>
    </w:p>
  </w:footnote>
  <w:footnote w:type="continuationSeparator" w:id="0">
    <w:p w14:paraId="5FC3B865" w14:textId="77777777" w:rsidR="0016021F" w:rsidRDefault="00160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2281E" w14:textId="7E14BF35" w:rsidR="00925015" w:rsidRPr="0050302C" w:rsidRDefault="00DE516C" w:rsidP="0050302C">
    <w:pPr>
      <w:autoSpaceDE w:val="0"/>
      <w:autoSpaceDN w:val="0"/>
      <w:adjustRightInd w:val="0"/>
      <w:jc w:val="center"/>
      <w:rPr>
        <w:rFonts w:ascii="Calibri" w:hAnsi="Calibri" w:cs="Calibri"/>
        <w:color w:val="A6A6A6" w:themeColor="background1" w:themeShade="A6"/>
        <w:sz w:val="22"/>
        <w:szCs w:val="20"/>
        <w:lang w:val="en-US"/>
      </w:rPr>
    </w:pPr>
    <w:r w:rsidRPr="00F77ED3">
      <w:rPr>
        <w:rFonts w:ascii="Calibri" w:hAnsi="Calibri" w:cs="Calibri"/>
        <w:color w:val="A6A6A6" w:themeColor="background1" w:themeShade="A6"/>
        <w:sz w:val="22"/>
        <w:szCs w:val="20"/>
        <w:lang w:val="en-US"/>
      </w:rPr>
      <w:t xml:space="preserve">Abstract for </w:t>
    </w:r>
    <w:r w:rsidR="002B5902">
      <w:rPr>
        <w:rFonts w:ascii="Calibri" w:hAnsi="Calibri" w:cs="Calibri"/>
        <w:color w:val="A6A6A6" w:themeColor="background1" w:themeShade="A6"/>
        <w:sz w:val="22"/>
        <w:szCs w:val="20"/>
        <w:lang w:val="en-US"/>
      </w:rPr>
      <w:t>1</w:t>
    </w:r>
    <w:r w:rsidR="00DE03DB">
      <w:rPr>
        <w:rFonts w:ascii="Calibri" w:hAnsi="Calibri" w:cs="Calibri"/>
        <w:color w:val="A6A6A6" w:themeColor="background1" w:themeShade="A6"/>
        <w:sz w:val="22"/>
        <w:szCs w:val="20"/>
        <w:lang w:val="en-US"/>
      </w:rPr>
      <w:t>4</w:t>
    </w:r>
    <w:r w:rsidR="0050302C" w:rsidRPr="0050302C">
      <w:rPr>
        <w:rFonts w:ascii="Calibri" w:hAnsi="Calibri" w:cs="Calibri"/>
        <w:color w:val="A6A6A6" w:themeColor="background1" w:themeShade="A6"/>
        <w:sz w:val="22"/>
        <w:szCs w:val="20"/>
        <w:vertAlign w:val="superscript"/>
        <w:lang w:val="en-US"/>
      </w:rPr>
      <w:t>th</w:t>
    </w:r>
    <w:r w:rsidR="0050302C">
      <w:rPr>
        <w:rFonts w:ascii="Calibri" w:hAnsi="Calibri" w:cs="Calibri"/>
        <w:color w:val="A6A6A6" w:themeColor="background1" w:themeShade="A6"/>
        <w:sz w:val="22"/>
        <w:szCs w:val="20"/>
        <w:lang w:val="en-US"/>
      </w:rPr>
      <w:t xml:space="preserve"> SNEC International Photovoltaic Power Generation </w:t>
    </w:r>
    <w:r w:rsidR="00DE03DB">
      <w:rPr>
        <w:rFonts w:ascii="Calibri" w:hAnsi="Calibri" w:cs="Calibri"/>
        <w:color w:val="A6A6A6" w:themeColor="background1" w:themeShade="A6"/>
        <w:sz w:val="22"/>
        <w:szCs w:val="20"/>
        <w:lang w:val="en-US"/>
      </w:rPr>
      <w:t>Conference and Exhibition 2020</w:t>
    </w:r>
    <w:r w:rsidR="00BF5332" w:rsidRPr="00F77ED3">
      <w:rPr>
        <w:rFonts w:ascii="Calibri" w:hAnsi="Calibri" w:cs="Calibri"/>
        <w:color w:val="A6A6A6" w:themeColor="background1" w:themeShade="A6"/>
        <w:sz w:val="22"/>
        <w:szCs w:val="20"/>
        <w:lang w:val="en-US"/>
      </w:rPr>
      <w:t xml:space="preserve"> in </w:t>
    </w:r>
    <w:r w:rsidR="0050302C">
      <w:rPr>
        <w:rFonts w:ascii="Calibri" w:hAnsi="Calibri" w:cs="Calibri"/>
        <w:color w:val="A6A6A6" w:themeColor="background1" w:themeShade="A6"/>
        <w:sz w:val="22"/>
        <w:szCs w:val="20"/>
        <w:lang w:val="en-US"/>
      </w:rPr>
      <w:t>Shanghai</w:t>
    </w:r>
    <w:r w:rsidR="00BF5332" w:rsidRPr="00F77ED3">
      <w:rPr>
        <w:rFonts w:ascii="Calibri" w:hAnsi="Calibri" w:cs="Calibri"/>
        <w:color w:val="A6A6A6" w:themeColor="background1" w:themeShade="A6"/>
        <w:sz w:val="22"/>
        <w:szCs w:val="20"/>
        <w:lang w:val="en-US"/>
      </w:rPr>
      <w:t>,</w:t>
    </w:r>
    <w:r w:rsidR="0050302C">
      <w:rPr>
        <w:rFonts w:ascii="Calibri" w:hAnsi="Calibri" w:cs="Calibri"/>
        <w:color w:val="A6A6A6" w:themeColor="background1" w:themeShade="A6"/>
        <w:sz w:val="22"/>
        <w:szCs w:val="20"/>
        <w:lang w:val="en-US"/>
      </w:rPr>
      <w:t xml:space="preserve"> China</w:t>
    </w:r>
  </w:p>
  <w:p w14:paraId="13D9D80C" w14:textId="77777777" w:rsidR="00302898" w:rsidRPr="00163C52" w:rsidRDefault="00F914B1" w:rsidP="002475AB">
    <w:pPr>
      <w:autoSpaceDE w:val="0"/>
      <w:autoSpaceDN w:val="0"/>
      <w:adjustRightInd w:val="0"/>
      <w:rPr>
        <w:rFonts w:ascii="Calibri" w:hAnsi="Calibri" w:cs="Calibri"/>
        <w:sz w:val="20"/>
        <w:szCs w:val="20"/>
        <w:lang w:val="en-US"/>
      </w:rPr>
    </w:pPr>
  </w:p>
  <w:p w14:paraId="27421356" w14:textId="77777777" w:rsidR="00302898" w:rsidRPr="00925015" w:rsidRDefault="00F914B1">
    <w:pPr>
      <w:pStyle w:val="Kopfzeile"/>
      <w:rPr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55FE"/>
    <w:multiLevelType w:val="hybridMultilevel"/>
    <w:tmpl w:val="6278FA8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3A27D8B"/>
    <w:multiLevelType w:val="hybridMultilevel"/>
    <w:tmpl w:val="1D2A26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E14"/>
    <w:multiLevelType w:val="hybridMultilevel"/>
    <w:tmpl w:val="3EA0CA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B2FD5"/>
    <w:multiLevelType w:val="multilevel"/>
    <w:tmpl w:val="AD98333E"/>
    <w:lvl w:ilvl="0">
      <w:start w:val="1"/>
      <w:numFmt w:val="decimal"/>
      <w:pStyle w:val="Abstract-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bstract-Heading11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Abstract-Heading111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6C"/>
    <w:rsid w:val="000008BA"/>
    <w:rsid w:val="00025ED7"/>
    <w:rsid w:val="00036A9E"/>
    <w:rsid w:val="0006534A"/>
    <w:rsid w:val="000727EF"/>
    <w:rsid w:val="000878CA"/>
    <w:rsid w:val="000B06E7"/>
    <w:rsid w:val="000C2985"/>
    <w:rsid w:val="000E5219"/>
    <w:rsid w:val="000F3ED5"/>
    <w:rsid w:val="000F4B77"/>
    <w:rsid w:val="001007F3"/>
    <w:rsid w:val="00104118"/>
    <w:rsid w:val="001056A0"/>
    <w:rsid w:val="00114E92"/>
    <w:rsid w:val="001224B0"/>
    <w:rsid w:val="001447B1"/>
    <w:rsid w:val="00147D5B"/>
    <w:rsid w:val="001550F4"/>
    <w:rsid w:val="0016021F"/>
    <w:rsid w:val="00167E08"/>
    <w:rsid w:val="00174604"/>
    <w:rsid w:val="001D51E1"/>
    <w:rsid w:val="00203E4D"/>
    <w:rsid w:val="002365C5"/>
    <w:rsid w:val="00255B5B"/>
    <w:rsid w:val="00255EEF"/>
    <w:rsid w:val="00261A59"/>
    <w:rsid w:val="00282273"/>
    <w:rsid w:val="00282EE5"/>
    <w:rsid w:val="0029569A"/>
    <w:rsid w:val="002A570D"/>
    <w:rsid w:val="002A5D17"/>
    <w:rsid w:val="002A7A2B"/>
    <w:rsid w:val="002B5902"/>
    <w:rsid w:val="002E095B"/>
    <w:rsid w:val="00331F2D"/>
    <w:rsid w:val="0035075F"/>
    <w:rsid w:val="003863CD"/>
    <w:rsid w:val="00392BC7"/>
    <w:rsid w:val="00394395"/>
    <w:rsid w:val="003E188B"/>
    <w:rsid w:val="003F55AA"/>
    <w:rsid w:val="00404F1E"/>
    <w:rsid w:val="004202F4"/>
    <w:rsid w:val="00420AB4"/>
    <w:rsid w:val="00423095"/>
    <w:rsid w:val="00443584"/>
    <w:rsid w:val="00445D45"/>
    <w:rsid w:val="004503B1"/>
    <w:rsid w:val="00457BFE"/>
    <w:rsid w:val="0046248E"/>
    <w:rsid w:val="00471399"/>
    <w:rsid w:val="0048791C"/>
    <w:rsid w:val="00495981"/>
    <w:rsid w:val="004A0E69"/>
    <w:rsid w:val="004A4364"/>
    <w:rsid w:val="004C5146"/>
    <w:rsid w:val="004E5511"/>
    <w:rsid w:val="004F501C"/>
    <w:rsid w:val="0050302C"/>
    <w:rsid w:val="0052309A"/>
    <w:rsid w:val="00530516"/>
    <w:rsid w:val="005347CB"/>
    <w:rsid w:val="00541385"/>
    <w:rsid w:val="00543EFC"/>
    <w:rsid w:val="00547444"/>
    <w:rsid w:val="00551411"/>
    <w:rsid w:val="00563AFB"/>
    <w:rsid w:val="00566C07"/>
    <w:rsid w:val="00571CFE"/>
    <w:rsid w:val="00577634"/>
    <w:rsid w:val="00585739"/>
    <w:rsid w:val="0059441E"/>
    <w:rsid w:val="0059557F"/>
    <w:rsid w:val="00597FBA"/>
    <w:rsid w:val="005A1402"/>
    <w:rsid w:val="005E6E6E"/>
    <w:rsid w:val="005F3CF9"/>
    <w:rsid w:val="00630B46"/>
    <w:rsid w:val="00673B59"/>
    <w:rsid w:val="006766C7"/>
    <w:rsid w:val="00682457"/>
    <w:rsid w:val="006867FD"/>
    <w:rsid w:val="00691BBA"/>
    <w:rsid w:val="006A6550"/>
    <w:rsid w:val="006D5BF3"/>
    <w:rsid w:val="006D721A"/>
    <w:rsid w:val="00733DE6"/>
    <w:rsid w:val="0074298A"/>
    <w:rsid w:val="00751260"/>
    <w:rsid w:val="007748B9"/>
    <w:rsid w:val="00783419"/>
    <w:rsid w:val="007C2CD4"/>
    <w:rsid w:val="008126B5"/>
    <w:rsid w:val="00823801"/>
    <w:rsid w:val="0084716B"/>
    <w:rsid w:val="0084780B"/>
    <w:rsid w:val="00855579"/>
    <w:rsid w:val="008601C6"/>
    <w:rsid w:val="00871DFF"/>
    <w:rsid w:val="0088026B"/>
    <w:rsid w:val="0088224E"/>
    <w:rsid w:val="008C2071"/>
    <w:rsid w:val="008F2FF7"/>
    <w:rsid w:val="009107B6"/>
    <w:rsid w:val="009123E1"/>
    <w:rsid w:val="00925015"/>
    <w:rsid w:val="00945BAB"/>
    <w:rsid w:val="00956B8A"/>
    <w:rsid w:val="00956ECE"/>
    <w:rsid w:val="009E4C72"/>
    <w:rsid w:val="009F0CCF"/>
    <w:rsid w:val="00A2210A"/>
    <w:rsid w:val="00A230D9"/>
    <w:rsid w:val="00A30522"/>
    <w:rsid w:val="00A5179F"/>
    <w:rsid w:val="00A7225E"/>
    <w:rsid w:val="00A92D45"/>
    <w:rsid w:val="00A931C5"/>
    <w:rsid w:val="00AC11E3"/>
    <w:rsid w:val="00AC544F"/>
    <w:rsid w:val="00AF6939"/>
    <w:rsid w:val="00B120A7"/>
    <w:rsid w:val="00B30B7A"/>
    <w:rsid w:val="00B316D1"/>
    <w:rsid w:val="00B346B8"/>
    <w:rsid w:val="00B35265"/>
    <w:rsid w:val="00B3709A"/>
    <w:rsid w:val="00B77DFE"/>
    <w:rsid w:val="00B8575A"/>
    <w:rsid w:val="00B96601"/>
    <w:rsid w:val="00BB60AF"/>
    <w:rsid w:val="00BD056A"/>
    <w:rsid w:val="00BD0CCD"/>
    <w:rsid w:val="00BD167B"/>
    <w:rsid w:val="00BD4693"/>
    <w:rsid w:val="00BF5332"/>
    <w:rsid w:val="00BF67F1"/>
    <w:rsid w:val="00C142FF"/>
    <w:rsid w:val="00C348DF"/>
    <w:rsid w:val="00C56EF2"/>
    <w:rsid w:val="00C84D79"/>
    <w:rsid w:val="00C87F73"/>
    <w:rsid w:val="00C9273E"/>
    <w:rsid w:val="00C97AEA"/>
    <w:rsid w:val="00CA0E95"/>
    <w:rsid w:val="00CE1542"/>
    <w:rsid w:val="00D02AE9"/>
    <w:rsid w:val="00D070A8"/>
    <w:rsid w:val="00D10B6E"/>
    <w:rsid w:val="00D13873"/>
    <w:rsid w:val="00D213EF"/>
    <w:rsid w:val="00D2453F"/>
    <w:rsid w:val="00D35C20"/>
    <w:rsid w:val="00D3767E"/>
    <w:rsid w:val="00D50034"/>
    <w:rsid w:val="00D845E4"/>
    <w:rsid w:val="00DC36AC"/>
    <w:rsid w:val="00DC4191"/>
    <w:rsid w:val="00DC4444"/>
    <w:rsid w:val="00DD0074"/>
    <w:rsid w:val="00DD20DA"/>
    <w:rsid w:val="00DD3159"/>
    <w:rsid w:val="00DD75FB"/>
    <w:rsid w:val="00DE03DB"/>
    <w:rsid w:val="00DE516C"/>
    <w:rsid w:val="00E046CC"/>
    <w:rsid w:val="00E14C73"/>
    <w:rsid w:val="00E238D6"/>
    <w:rsid w:val="00E27875"/>
    <w:rsid w:val="00E31F18"/>
    <w:rsid w:val="00E75B1B"/>
    <w:rsid w:val="00E973EF"/>
    <w:rsid w:val="00EA710A"/>
    <w:rsid w:val="00ED276B"/>
    <w:rsid w:val="00ED72C7"/>
    <w:rsid w:val="00F01302"/>
    <w:rsid w:val="00F10720"/>
    <w:rsid w:val="00F178BB"/>
    <w:rsid w:val="00F76EED"/>
    <w:rsid w:val="00F77ED3"/>
    <w:rsid w:val="00F914B1"/>
    <w:rsid w:val="00F92517"/>
    <w:rsid w:val="00F92EF7"/>
    <w:rsid w:val="00FA100B"/>
    <w:rsid w:val="00FA6FD5"/>
    <w:rsid w:val="00FB4206"/>
    <w:rsid w:val="00FC6855"/>
    <w:rsid w:val="00FD54CC"/>
    <w:rsid w:val="00FE023B"/>
    <w:rsid w:val="00FE0940"/>
    <w:rsid w:val="00FE6D92"/>
    <w:rsid w:val="00FF0FF1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689EACDD"/>
  <w15:docId w15:val="{5C116E55-955E-4ACB-8002-43FAE48C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5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624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51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516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bstract-Text">
    <w:name w:val="Abstract-Text"/>
    <w:link w:val="Abstract-TextZchn"/>
    <w:rsid w:val="00DE516C"/>
    <w:pPr>
      <w:widowControl w:val="0"/>
      <w:tabs>
        <w:tab w:val="right" w:pos="8520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lang w:val="en-US" w:eastAsia="de-DE"/>
    </w:rPr>
  </w:style>
  <w:style w:type="character" w:customStyle="1" w:styleId="Abstract-TextZchn">
    <w:name w:val="Abstract-Text Zchn"/>
    <w:link w:val="Abstract-Text"/>
    <w:rsid w:val="00DE516C"/>
    <w:rPr>
      <w:rFonts w:ascii="Times New Roman" w:eastAsia="Times New Roman" w:hAnsi="Times New Roman" w:cs="Times New Roman"/>
      <w:color w:val="000000"/>
      <w:sz w:val="24"/>
      <w:lang w:val="en-US" w:eastAsia="de-DE"/>
    </w:rPr>
  </w:style>
  <w:style w:type="paragraph" w:customStyle="1" w:styleId="Abstract-FigureCaption">
    <w:name w:val="Abstract-FigureCaption"/>
    <w:rsid w:val="00DE516C"/>
    <w:pPr>
      <w:spacing w:before="160" w:after="240" w:line="240" w:lineRule="atLeast"/>
      <w:jc w:val="center"/>
    </w:pPr>
    <w:rPr>
      <w:rFonts w:ascii="Times New Roman" w:eastAsia="Times New Roman" w:hAnsi="Times New Roman" w:cs="Times New Roman"/>
      <w:color w:val="000000"/>
      <w:sz w:val="20"/>
      <w:lang w:val="en-GB" w:eastAsia="de-DE"/>
    </w:rPr>
  </w:style>
  <w:style w:type="paragraph" w:customStyle="1" w:styleId="Abstract-Heading1">
    <w:name w:val="Abstract-Heading1"/>
    <w:basedOn w:val="Abstract-Heading11"/>
    <w:next w:val="Abstract-Text"/>
    <w:link w:val="Abstract-Heading1ZchnZchn"/>
    <w:rsid w:val="00DE516C"/>
    <w:pPr>
      <w:numPr>
        <w:ilvl w:val="0"/>
      </w:numPr>
      <w:spacing w:before="240" w:after="120" w:line="280" w:lineRule="exact"/>
    </w:pPr>
    <w:rPr>
      <w:caps/>
      <w:szCs w:val="24"/>
      <w:lang w:val="en-US"/>
    </w:rPr>
  </w:style>
  <w:style w:type="paragraph" w:customStyle="1" w:styleId="Abstract-Heading11">
    <w:name w:val="Abstract-Heading1.1"/>
    <w:rsid w:val="00DE516C"/>
    <w:pPr>
      <w:numPr>
        <w:ilvl w:val="1"/>
        <w:numId w:val="1"/>
      </w:numPr>
      <w:tabs>
        <w:tab w:val="clear" w:pos="792"/>
        <w:tab w:val="left" w:pos="454"/>
      </w:tabs>
      <w:spacing w:before="180" w:after="60" w:line="240" w:lineRule="exact"/>
      <w:ind w:left="0" w:firstLine="0"/>
    </w:pPr>
    <w:rPr>
      <w:rFonts w:ascii="Times New Roman" w:eastAsia="Times New Roman" w:hAnsi="Times New Roman" w:cs="Times New Roman"/>
      <w:b/>
      <w:color w:val="000000"/>
      <w:sz w:val="24"/>
      <w:lang w:val="en-GB" w:eastAsia="de-DE"/>
    </w:rPr>
  </w:style>
  <w:style w:type="character" w:customStyle="1" w:styleId="Abstract-Heading1ZchnZchn">
    <w:name w:val="Abstract-Heading1 Zchn Zchn"/>
    <w:link w:val="Abstract-Heading1"/>
    <w:rsid w:val="00DE516C"/>
    <w:rPr>
      <w:rFonts w:ascii="Times New Roman" w:eastAsia="Times New Roman" w:hAnsi="Times New Roman" w:cs="Times New Roman"/>
      <w:b/>
      <w:caps/>
      <w:color w:val="000000"/>
      <w:sz w:val="24"/>
      <w:szCs w:val="24"/>
      <w:lang w:val="en-US" w:eastAsia="de-DE"/>
    </w:rPr>
  </w:style>
  <w:style w:type="paragraph" w:customStyle="1" w:styleId="Abstract-References">
    <w:name w:val="Abstract-References"/>
    <w:rsid w:val="00DE516C"/>
    <w:pPr>
      <w:tabs>
        <w:tab w:val="left" w:pos="136"/>
      </w:tabs>
      <w:spacing w:after="120" w:line="240" w:lineRule="exact"/>
      <w:ind w:left="255" w:hanging="255"/>
    </w:pPr>
    <w:rPr>
      <w:rFonts w:ascii="Times New Roman" w:eastAsia="Times New Roman" w:hAnsi="Times New Roman" w:cs="Times New Roman"/>
      <w:color w:val="000000"/>
      <w:sz w:val="20"/>
      <w:szCs w:val="20"/>
      <w:lang w:val="en-GB" w:eastAsia="de-DE"/>
    </w:rPr>
  </w:style>
  <w:style w:type="paragraph" w:customStyle="1" w:styleId="Abstract-TableCaption">
    <w:name w:val="Abstract-TableCaption"/>
    <w:rsid w:val="00DE516C"/>
    <w:pPr>
      <w:tabs>
        <w:tab w:val="left" w:pos="278"/>
        <w:tab w:val="left" w:pos="480"/>
      </w:tabs>
      <w:spacing w:before="240" w:after="60" w:line="240" w:lineRule="auto"/>
      <w:ind w:left="476" w:right="57" w:hanging="357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val="en-GB" w:eastAsia="de-DE"/>
    </w:rPr>
  </w:style>
  <w:style w:type="paragraph" w:customStyle="1" w:styleId="Abstract-Heading111">
    <w:name w:val="Abstract-Heading1.1.1"/>
    <w:basedOn w:val="Abstract-Heading11"/>
    <w:rsid w:val="00DE516C"/>
    <w:pPr>
      <w:numPr>
        <w:ilvl w:val="2"/>
      </w:numPr>
    </w:pPr>
    <w:rPr>
      <w:b w:val="0"/>
    </w:rPr>
  </w:style>
  <w:style w:type="paragraph" w:customStyle="1" w:styleId="Abstract-TableText">
    <w:name w:val="Abstract-TableText"/>
    <w:basedOn w:val="Standard"/>
    <w:rsid w:val="00DE516C"/>
    <w:pPr>
      <w:widowControl w:val="0"/>
      <w:tabs>
        <w:tab w:val="right" w:pos="8520"/>
      </w:tabs>
      <w:spacing w:before="60" w:after="60"/>
      <w:jc w:val="center"/>
    </w:pPr>
    <w:rPr>
      <w:color w:val="000000"/>
      <w:sz w:val="20"/>
      <w:szCs w:val="22"/>
      <w:lang w:val="en-US"/>
    </w:rPr>
  </w:style>
  <w:style w:type="character" w:styleId="Fett">
    <w:name w:val="Strong"/>
    <w:uiPriority w:val="22"/>
    <w:qFormat/>
    <w:rsid w:val="00DE516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51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516C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62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C51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514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9E4C72"/>
    <w:pPr>
      <w:spacing w:after="200"/>
    </w:pPr>
    <w:rPr>
      <w:b/>
      <w:bCs/>
      <w:color w:val="4F81BD" w:themeColor="accent1"/>
      <w:sz w:val="18"/>
      <w:szCs w:val="18"/>
    </w:rPr>
  </w:style>
  <w:style w:type="paragraph" w:styleId="Literaturverzeichnis">
    <w:name w:val="Bibliography"/>
    <w:basedOn w:val="Standard"/>
    <w:next w:val="Standard"/>
    <w:uiPriority w:val="37"/>
    <w:unhideWhenUsed/>
    <w:rsid w:val="00A5179F"/>
  </w:style>
  <w:style w:type="character" w:styleId="Kommentarzeichen">
    <w:name w:val="annotation reference"/>
    <w:basedOn w:val="Absatz-Standardschriftart"/>
    <w:uiPriority w:val="99"/>
    <w:semiHidden/>
    <w:unhideWhenUsed/>
    <w:rsid w:val="005776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763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763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76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7634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A72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D24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238D6"/>
    <w:pPr>
      <w:ind w:left="720"/>
      <w:contextualSpacing/>
    </w:pPr>
  </w:style>
  <w:style w:type="paragraph" w:customStyle="1" w:styleId="Abstract-Title">
    <w:name w:val="Abstract-Title"/>
    <w:autoRedefine/>
    <w:rsid w:val="00CE1542"/>
    <w:pPr>
      <w:spacing w:after="380"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lang w:val="en-US" w:eastAsia="de-DE"/>
    </w:rPr>
  </w:style>
  <w:style w:type="paragraph" w:customStyle="1" w:styleId="Synopsis">
    <w:name w:val="Synopsis"/>
    <w:basedOn w:val="Abstract-Heading1"/>
    <w:next w:val="Abstract-Text"/>
    <w:rsid w:val="006D721A"/>
    <w:pPr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Bra13</b:Tag>
    <b:SourceType>ArticleInAPeriodical</b:SourceType>
    <b:Guid>{4BB7D4DC-64CB-4CE7-874A-FEFADBF1AD8A}</b:Guid>
    <b:Author>
      <b:Author>
        <b:NameList>
          <b:Person>
            <b:Last>Braun</b:Last>
            <b:First>Stefan</b:First>
          </b:Person>
          <b:Person>
            <b:Last>Hahn</b:Last>
            <b:First>Giso</b:First>
          </b:Person>
          <b:Person>
            <b:Last>Nissler</b:Last>
            <b:First>Robin</b:First>
          </b:Person>
          <b:Person>
            <b:Last>Pönisch</b:Last>
            <b:First>Christoph</b:First>
          </b:Person>
          <b:Person>
            <b:Last>Habermann</b:Last>
            <b:First>Dirk</b:First>
          </b:Person>
        </b:NameList>
      </b:Author>
    </b:Author>
    <b:Title>The multi-busbar design: an overview</b:Title>
    <b:PeriodicalTitle>Energy Procedia </b:PeriodicalTitle>
    <b:Year>2013</b:Year>
    <b:Edition>43</b:Edition>
    <b:RefOrder>1</b:RefOrder>
  </b:Source>
  <b:Source>
    <b:Tag>Met07</b:Tag>
    <b:SourceType>Misc</b:SourceType>
    <b:Guid>{C8688CD6-6401-4FAB-A288-C81C77EA0EF3}</b:Guid>
    <b:Author>
      <b:Author>
        <b:NameList>
          <b:Person>
            <b:Last>Mette</b:Last>
            <b:First>Ansgar</b:First>
          </b:Person>
        </b:NameList>
      </b:Author>
    </b:Author>
    <b:Title>New concepts for front side metallization of industrial solar cells</b:Title>
    <b:Year>2007</b:Year>
    <b:City>Freiburg</b:City>
    <b:Publisher>Fraunhofer Institut für Solare Energiesysteme</b:Publisher>
    <b:RefOrder>2</b:RefOrder>
  </b:Source>
</b:Sources>
</file>

<file path=customXml/itemProps1.xml><?xml version="1.0" encoding="utf-8"?>
<ds:datastoreItem xmlns:ds="http://schemas.openxmlformats.org/officeDocument/2006/customXml" ds:itemID="{449F2309-4301-4527-8A47-AFC1C36C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Schubert.G</dc:creator>
  <cp:lastModifiedBy>Bay, Norbert</cp:lastModifiedBy>
  <cp:revision>8</cp:revision>
  <cp:lastPrinted>2016-02-04T15:37:00Z</cp:lastPrinted>
  <dcterms:created xsi:type="dcterms:W3CDTF">2020-01-21T15:38:00Z</dcterms:created>
  <dcterms:modified xsi:type="dcterms:W3CDTF">2020-01-24T08:31:00Z</dcterms:modified>
</cp:coreProperties>
</file>