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00F92" w14:textId="77777777" w:rsidR="009E31DA" w:rsidRPr="00977FA5" w:rsidRDefault="009E31DA" w:rsidP="00090765">
      <w:pPr>
        <w:tabs>
          <w:tab w:val="left" w:pos="426"/>
        </w:tabs>
        <w:spacing w:line="360" w:lineRule="auto"/>
        <w:rPr>
          <w:rFonts w:ascii="Arial" w:hAnsi="Arial" w:cs="Arial"/>
          <w:b/>
          <w:sz w:val="28"/>
          <w:szCs w:val="28"/>
        </w:rPr>
      </w:pPr>
      <w:r w:rsidRPr="00977FA5">
        <w:rPr>
          <w:rFonts w:ascii="Arial" w:hAnsi="Arial" w:cs="Arial"/>
          <w:b/>
          <w:sz w:val="28"/>
          <w:szCs w:val="28"/>
        </w:rPr>
        <w:t>Advanced inline processing of monocrystalline high efficiency cells: NOx free, alkaline polishing process for advanced cell concepts</w:t>
      </w:r>
    </w:p>
    <w:p w14:paraId="4C520485" w14:textId="77777777" w:rsidR="009E31DA" w:rsidRPr="00977FA5" w:rsidRDefault="009E31DA" w:rsidP="00090765">
      <w:pPr>
        <w:tabs>
          <w:tab w:val="left" w:pos="426"/>
        </w:tabs>
        <w:spacing w:line="360" w:lineRule="auto"/>
        <w:rPr>
          <w:rFonts w:ascii="Arial" w:hAnsi="Arial" w:cs="Arial"/>
          <w:bCs/>
          <w:sz w:val="20"/>
        </w:rPr>
      </w:pPr>
    </w:p>
    <w:p w14:paraId="018440CE" w14:textId="77777777" w:rsidR="009E31DA" w:rsidRPr="00977FA5" w:rsidRDefault="009E31DA" w:rsidP="00090765">
      <w:pPr>
        <w:tabs>
          <w:tab w:val="left" w:pos="426"/>
        </w:tabs>
        <w:spacing w:line="360" w:lineRule="auto"/>
        <w:rPr>
          <w:rFonts w:ascii="Arial" w:hAnsi="Arial" w:cs="Arial"/>
          <w:bCs/>
          <w:sz w:val="22"/>
          <w:szCs w:val="22"/>
        </w:rPr>
      </w:pPr>
      <w:r w:rsidRPr="00977FA5">
        <w:rPr>
          <w:rFonts w:ascii="Arial" w:hAnsi="Arial" w:cs="Arial"/>
          <w:bCs/>
          <w:sz w:val="22"/>
          <w:szCs w:val="22"/>
        </w:rPr>
        <w:t xml:space="preserve">Mirza Corda, Philipp Noack, Eduard Kilin, Dirk Scholze, Bianca Wattenberg </w:t>
      </w:r>
    </w:p>
    <w:p w14:paraId="49B6D42F" w14:textId="77777777" w:rsidR="009E31DA" w:rsidRPr="00977FA5" w:rsidRDefault="009E31DA" w:rsidP="00090765">
      <w:pPr>
        <w:tabs>
          <w:tab w:val="left" w:pos="426"/>
        </w:tabs>
        <w:spacing w:line="360" w:lineRule="auto"/>
        <w:rPr>
          <w:rFonts w:ascii="Arial" w:hAnsi="Arial" w:cs="Arial"/>
          <w:sz w:val="22"/>
          <w:szCs w:val="22"/>
        </w:rPr>
      </w:pPr>
    </w:p>
    <w:p w14:paraId="05F6F582" w14:textId="77777777" w:rsidR="009E31DA" w:rsidRPr="00977FA5" w:rsidRDefault="009E31DA" w:rsidP="00090765">
      <w:pPr>
        <w:tabs>
          <w:tab w:val="left" w:pos="426"/>
        </w:tabs>
        <w:spacing w:line="360" w:lineRule="auto"/>
        <w:rPr>
          <w:rFonts w:ascii="Arial" w:hAnsi="Arial" w:cs="Arial"/>
          <w:sz w:val="22"/>
          <w:szCs w:val="22"/>
        </w:rPr>
      </w:pPr>
    </w:p>
    <w:p w14:paraId="6E35206A" w14:textId="2A92182A" w:rsidR="009E31DA" w:rsidRPr="00977FA5" w:rsidRDefault="009E31DA" w:rsidP="00090765">
      <w:pPr>
        <w:tabs>
          <w:tab w:val="left" w:pos="426"/>
        </w:tabs>
        <w:spacing w:line="360" w:lineRule="auto"/>
        <w:rPr>
          <w:rFonts w:ascii="Arial" w:hAnsi="Arial" w:cs="Arial"/>
          <w:sz w:val="22"/>
          <w:szCs w:val="22"/>
        </w:rPr>
      </w:pPr>
      <w:r w:rsidRPr="00977FA5">
        <w:rPr>
          <w:rFonts w:ascii="Arial" w:hAnsi="Arial" w:cs="Arial"/>
          <w:sz w:val="22"/>
          <w:szCs w:val="22"/>
        </w:rPr>
        <w:t xml:space="preserve">Key words: PERC, LD SE PERC, alkaline inline processing, alternative chemical edge isolation, </w:t>
      </w:r>
      <w:bookmarkStart w:id="0" w:name="_GoBack"/>
      <w:bookmarkEnd w:id="0"/>
      <w:r w:rsidRPr="00977FA5">
        <w:rPr>
          <w:rFonts w:ascii="Arial" w:hAnsi="Arial" w:cs="Arial"/>
          <w:sz w:val="22"/>
          <w:szCs w:val="22"/>
        </w:rPr>
        <w:t>NO</w:t>
      </w:r>
      <w:r w:rsidRPr="00977FA5">
        <w:rPr>
          <w:rFonts w:ascii="Arial" w:hAnsi="Arial" w:cs="Arial"/>
          <w:sz w:val="22"/>
          <w:szCs w:val="22"/>
          <w:vertAlign w:val="subscript"/>
        </w:rPr>
        <w:t>x</w:t>
      </w:r>
      <w:r w:rsidRPr="00977FA5">
        <w:rPr>
          <w:rFonts w:ascii="Arial" w:hAnsi="Arial" w:cs="Arial"/>
          <w:sz w:val="22"/>
          <w:szCs w:val="22"/>
        </w:rPr>
        <w:t>-free, LINEX, single side etching, immersion process, passivated contacts, tunnel oxide</w:t>
      </w:r>
    </w:p>
    <w:p w14:paraId="07297873" w14:textId="77777777" w:rsidR="009E31DA" w:rsidRPr="00977FA5" w:rsidRDefault="009E31DA" w:rsidP="00090765">
      <w:pPr>
        <w:tabs>
          <w:tab w:val="left" w:pos="426"/>
        </w:tabs>
        <w:spacing w:line="360" w:lineRule="auto"/>
        <w:rPr>
          <w:rFonts w:ascii="Arial" w:hAnsi="Arial" w:cs="Arial"/>
          <w:sz w:val="22"/>
          <w:szCs w:val="22"/>
        </w:rPr>
      </w:pPr>
    </w:p>
    <w:p w14:paraId="5CFE83A8" w14:textId="77777777" w:rsidR="009E31DA" w:rsidRPr="00977FA5" w:rsidRDefault="009E31DA" w:rsidP="00090765">
      <w:pPr>
        <w:tabs>
          <w:tab w:val="left" w:pos="426"/>
        </w:tabs>
        <w:spacing w:line="360" w:lineRule="auto"/>
        <w:rPr>
          <w:rFonts w:ascii="Arial" w:hAnsi="Arial" w:cs="Arial"/>
          <w:sz w:val="22"/>
          <w:szCs w:val="22"/>
        </w:rPr>
      </w:pPr>
      <w:r w:rsidRPr="00977FA5">
        <w:rPr>
          <w:rFonts w:ascii="Arial" w:hAnsi="Arial" w:cs="Arial"/>
          <w:sz w:val="22"/>
          <w:szCs w:val="22"/>
        </w:rPr>
        <w:t xml:space="preserve">SINGULUS TECHNOLOGIES AG is continuously developing the inline machine platform LINEX due to new market requirements. </w:t>
      </w:r>
    </w:p>
    <w:p w14:paraId="2B0DA07F" w14:textId="77777777" w:rsidR="009E31DA" w:rsidRPr="00977FA5" w:rsidRDefault="009E31DA" w:rsidP="00090765">
      <w:pPr>
        <w:tabs>
          <w:tab w:val="left" w:pos="426"/>
        </w:tabs>
        <w:spacing w:line="360" w:lineRule="auto"/>
        <w:rPr>
          <w:rFonts w:ascii="Arial" w:hAnsi="Arial" w:cs="Arial"/>
          <w:sz w:val="22"/>
          <w:szCs w:val="22"/>
        </w:rPr>
      </w:pPr>
      <w:r w:rsidRPr="00977FA5">
        <w:rPr>
          <w:rFonts w:ascii="Arial" w:hAnsi="Arial" w:cs="Arial"/>
          <w:sz w:val="22"/>
          <w:szCs w:val="22"/>
        </w:rPr>
        <w:t xml:space="preserve">The increase in environmental standards, among others in Asia, lead to new demands on the generally known wet-chemical edge isolation process, which is usually implemented with nitric acid and hydrofluoric acid. </w:t>
      </w:r>
    </w:p>
    <w:p w14:paraId="44D2E128" w14:textId="64E2B38A" w:rsidR="009E31DA" w:rsidRPr="00977FA5" w:rsidRDefault="009E31DA" w:rsidP="00090765">
      <w:pPr>
        <w:tabs>
          <w:tab w:val="left" w:pos="426"/>
        </w:tabs>
        <w:spacing w:line="360" w:lineRule="auto"/>
        <w:rPr>
          <w:rFonts w:ascii="Arial" w:hAnsi="Arial" w:cs="Arial"/>
          <w:sz w:val="22"/>
          <w:szCs w:val="22"/>
        </w:rPr>
      </w:pPr>
      <w:r w:rsidRPr="00977FA5">
        <w:rPr>
          <w:rFonts w:ascii="Arial" w:hAnsi="Arial" w:cs="Arial"/>
          <w:sz w:val="22"/>
          <w:szCs w:val="22"/>
        </w:rPr>
        <w:t xml:space="preserve">With the LINEX, SINGULUS presents a tool for a NOx-free, alkaline etching process, which, depending on hardware configuration, can reproduce a single-side process or even an immersion process with excellent etch performance. </w:t>
      </w:r>
    </w:p>
    <w:p w14:paraId="69149E22" w14:textId="77777777" w:rsidR="009E31DA" w:rsidRPr="00977FA5" w:rsidRDefault="009E31DA" w:rsidP="00090765">
      <w:pPr>
        <w:tabs>
          <w:tab w:val="left" w:pos="426"/>
        </w:tabs>
        <w:spacing w:line="360" w:lineRule="auto"/>
        <w:rPr>
          <w:rFonts w:ascii="Arial" w:hAnsi="Arial" w:cs="Arial"/>
          <w:sz w:val="22"/>
          <w:szCs w:val="22"/>
        </w:rPr>
      </w:pPr>
      <w:r w:rsidRPr="00977FA5">
        <w:rPr>
          <w:rFonts w:ascii="Arial" w:hAnsi="Arial" w:cs="Arial"/>
          <w:sz w:val="22"/>
          <w:szCs w:val="22"/>
        </w:rPr>
        <w:t>For LD SE PERC solar cells, for example, a single-side, alkaline etching step is required to ensure the efficient electrical insulation. The PSG layer, which can also be used as a protective layer for standard PERC cells in the alkaline immersion process, is partially damaged by the laser treatment and can no longer protect the emitter sufficiently from attack by the etching medium.</w:t>
      </w:r>
    </w:p>
    <w:p w14:paraId="5703800D" w14:textId="77777777" w:rsidR="009E31DA" w:rsidRPr="00977FA5" w:rsidRDefault="009E31DA" w:rsidP="00090765">
      <w:pPr>
        <w:tabs>
          <w:tab w:val="left" w:pos="426"/>
        </w:tabs>
        <w:spacing w:line="360" w:lineRule="auto"/>
        <w:rPr>
          <w:rFonts w:ascii="Arial" w:hAnsi="Arial" w:cs="Arial"/>
          <w:sz w:val="22"/>
          <w:szCs w:val="22"/>
        </w:rPr>
      </w:pPr>
      <w:r w:rsidRPr="00977FA5">
        <w:rPr>
          <w:rFonts w:ascii="Arial" w:hAnsi="Arial" w:cs="Arial"/>
          <w:sz w:val="22"/>
          <w:szCs w:val="22"/>
        </w:rPr>
        <w:t xml:space="preserve">If solar cells are manufactured with passivated contacts, the LINEX can map the complete process flow required for alkaline chemical edge isolation, BSG removal and the application of a wet chemical tunnel oxide. </w:t>
      </w:r>
    </w:p>
    <w:p w14:paraId="025BED6D" w14:textId="0B74062F" w:rsidR="009E31DA" w:rsidRPr="009E31DA" w:rsidRDefault="009E31DA" w:rsidP="00090765">
      <w:pPr>
        <w:tabs>
          <w:tab w:val="left" w:pos="426"/>
        </w:tabs>
        <w:spacing w:line="360" w:lineRule="auto"/>
        <w:rPr>
          <w:rFonts w:ascii="Arial" w:hAnsi="Arial" w:cs="Arial"/>
          <w:sz w:val="22"/>
          <w:szCs w:val="22"/>
        </w:rPr>
      </w:pPr>
      <w:r w:rsidRPr="00977FA5">
        <w:rPr>
          <w:rFonts w:ascii="Arial" w:hAnsi="Arial" w:cs="Arial"/>
          <w:sz w:val="22"/>
          <w:szCs w:val="22"/>
        </w:rPr>
        <w:t xml:space="preserve">The alkaline edge isolation process offers process relevant advantages, such as a smoother wafer backside, as well as OPEX savings due to lower chemical costs and less effort for wastewater treatment. Additionally, various adjustments and simplifications of the hardware have led to a cost down of the investment costs, which makes the LINEX even more attractive as a high-throughput production machine. </w:t>
      </w:r>
    </w:p>
    <w:p w14:paraId="58B0DCF9" w14:textId="32EE7DC6" w:rsidR="0021522E" w:rsidRDefault="0021522E" w:rsidP="00090765">
      <w:pPr>
        <w:tabs>
          <w:tab w:val="left" w:pos="426"/>
        </w:tabs>
        <w:spacing w:line="360" w:lineRule="auto"/>
        <w:rPr>
          <w:rFonts w:ascii="Arial" w:hAnsi="Arial" w:cs="Arial"/>
          <w:b/>
          <w:sz w:val="28"/>
          <w:szCs w:val="28"/>
        </w:rPr>
      </w:pPr>
      <w:r>
        <w:rPr>
          <w:rFonts w:ascii="Arial" w:hAnsi="Arial" w:cs="Arial"/>
          <w:b/>
          <w:sz w:val="28"/>
          <w:szCs w:val="28"/>
        </w:rPr>
        <w:lastRenderedPageBreak/>
        <w:t>Advanced inline processing of monocrystalline high efficiency cells: NOx free, alkaline polishing process for advanced cell concepts</w:t>
      </w:r>
    </w:p>
    <w:p w14:paraId="53BCB7B7" w14:textId="77777777" w:rsidR="00977FA5" w:rsidRDefault="00977FA5" w:rsidP="00090765">
      <w:pPr>
        <w:tabs>
          <w:tab w:val="left" w:pos="426"/>
        </w:tabs>
        <w:spacing w:line="360" w:lineRule="auto"/>
        <w:rPr>
          <w:rFonts w:ascii="Arial" w:hAnsi="Arial" w:cs="Arial"/>
          <w:bCs/>
          <w:sz w:val="22"/>
          <w:szCs w:val="22"/>
        </w:rPr>
      </w:pPr>
    </w:p>
    <w:p w14:paraId="141A2463" w14:textId="6FA97A10" w:rsidR="0021522E" w:rsidRPr="00977FA5" w:rsidRDefault="00977FA5" w:rsidP="00090765">
      <w:pPr>
        <w:tabs>
          <w:tab w:val="left" w:pos="426"/>
        </w:tabs>
        <w:spacing w:line="360" w:lineRule="auto"/>
        <w:rPr>
          <w:rFonts w:ascii="Arial" w:hAnsi="Arial" w:cs="Arial"/>
          <w:bCs/>
          <w:sz w:val="22"/>
          <w:szCs w:val="22"/>
        </w:rPr>
      </w:pPr>
      <w:r w:rsidRPr="00977FA5">
        <w:rPr>
          <w:rFonts w:ascii="Arial" w:hAnsi="Arial" w:cs="Arial"/>
          <w:bCs/>
          <w:sz w:val="22"/>
          <w:szCs w:val="22"/>
        </w:rPr>
        <w:t xml:space="preserve">Mirza Corda, Philipp Noack, Eduard Kilin, Dirk Scholze, Bianca Wattenberg </w:t>
      </w:r>
    </w:p>
    <w:p w14:paraId="771159A8" w14:textId="77777777" w:rsidR="00977FA5" w:rsidRPr="00977FA5" w:rsidRDefault="00977FA5" w:rsidP="00090765">
      <w:pPr>
        <w:tabs>
          <w:tab w:val="left" w:pos="426"/>
        </w:tabs>
        <w:spacing w:line="360" w:lineRule="auto"/>
        <w:rPr>
          <w:rFonts w:ascii="Arial" w:hAnsi="Arial" w:cs="Arial"/>
          <w:bCs/>
          <w:sz w:val="22"/>
          <w:szCs w:val="22"/>
        </w:rPr>
      </w:pPr>
    </w:p>
    <w:p w14:paraId="3D926F48" w14:textId="4CBB47B1" w:rsidR="0021522E" w:rsidRPr="00977FA5" w:rsidRDefault="0021522E" w:rsidP="00090765">
      <w:pPr>
        <w:tabs>
          <w:tab w:val="left" w:pos="426"/>
        </w:tabs>
        <w:spacing w:line="360" w:lineRule="auto"/>
        <w:rPr>
          <w:rFonts w:ascii="Arial" w:hAnsi="Arial" w:cs="Arial"/>
          <w:sz w:val="22"/>
          <w:szCs w:val="22"/>
          <w:lang w:val="de-DE"/>
        </w:rPr>
      </w:pPr>
      <w:r w:rsidRPr="00977FA5">
        <w:rPr>
          <w:rFonts w:ascii="Arial" w:hAnsi="Arial" w:cs="Arial"/>
          <w:sz w:val="22"/>
          <w:szCs w:val="22"/>
          <w:lang w:val="de-DE"/>
        </w:rPr>
        <w:t xml:space="preserve">Die SINGULUS TECHNOLOGIES AG entwickelt die Inline Maschinenplattform LINEX aufgrund neuer Marktanforderungen stetig weiter. </w:t>
      </w:r>
    </w:p>
    <w:p w14:paraId="47BA230C" w14:textId="6A02775F" w:rsidR="0021522E" w:rsidRPr="00977FA5" w:rsidRDefault="0021522E" w:rsidP="00090765">
      <w:pPr>
        <w:tabs>
          <w:tab w:val="left" w:pos="426"/>
        </w:tabs>
        <w:spacing w:line="360" w:lineRule="auto"/>
        <w:rPr>
          <w:rFonts w:ascii="Arial" w:hAnsi="Arial" w:cs="Arial"/>
          <w:sz w:val="22"/>
          <w:szCs w:val="22"/>
          <w:lang w:val="de-DE"/>
        </w:rPr>
      </w:pPr>
      <w:r w:rsidRPr="00977FA5">
        <w:rPr>
          <w:rFonts w:ascii="Arial" w:hAnsi="Arial" w:cs="Arial"/>
          <w:sz w:val="22"/>
          <w:szCs w:val="22"/>
          <w:lang w:val="de-DE"/>
        </w:rPr>
        <w:t>Strengere Anforderungen an den Emissionsschutz in Asien führen zu neuen Anforderungen an den allgemein</w:t>
      </w:r>
      <w:r w:rsidR="008062C4" w:rsidRPr="00977FA5">
        <w:rPr>
          <w:rFonts w:ascii="Arial" w:hAnsi="Arial" w:cs="Arial"/>
          <w:sz w:val="22"/>
          <w:szCs w:val="22"/>
          <w:lang w:val="de-DE"/>
        </w:rPr>
        <w:t xml:space="preserve"> bekannten, nasschemischen</w:t>
      </w:r>
      <w:r w:rsidRPr="00977FA5">
        <w:rPr>
          <w:rFonts w:ascii="Arial" w:hAnsi="Arial" w:cs="Arial"/>
          <w:sz w:val="22"/>
          <w:szCs w:val="22"/>
          <w:lang w:val="de-DE"/>
        </w:rPr>
        <w:t xml:space="preserve"> Kantenisolationsprozess, der üblicherweise mit Salpetersäure und Flusssäure umgesetzt wird. Hier stellt SINGULUS mit der LINEX eine Maschine für einen NOx freien, alkalischen Ätzprozess vor, der, je </w:t>
      </w:r>
      <w:r w:rsidR="00AC32EE" w:rsidRPr="00977FA5">
        <w:rPr>
          <w:rFonts w:ascii="Arial" w:hAnsi="Arial" w:cs="Arial"/>
          <w:sz w:val="22"/>
          <w:szCs w:val="22"/>
          <w:lang w:val="de-DE"/>
        </w:rPr>
        <w:t>nach Hardware Konfiguration</w:t>
      </w:r>
      <w:r w:rsidR="00F82C1B" w:rsidRPr="00977FA5">
        <w:rPr>
          <w:rFonts w:ascii="Arial" w:hAnsi="Arial" w:cs="Arial"/>
          <w:sz w:val="22"/>
          <w:szCs w:val="22"/>
          <w:lang w:val="de-DE"/>
        </w:rPr>
        <w:t>,</w:t>
      </w:r>
      <w:r w:rsidRPr="00977FA5">
        <w:rPr>
          <w:rFonts w:ascii="Arial" w:hAnsi="Arial" w:cs="Arial"/>
          <w:sz w:val="22"/>
          <w:szCs w:val="22"/>
          <w:lang w:val="de-DE"/>
        </w:rPr>
        <w:t xml:space="preserve"> einen einseitigen Prozessfluss oder auch einen Tauchprozess abbilden kann. </w:t>
      </w:r>
    </w:p>
    <w:p w14:paraId="3DC8AB9F" w14:textId="6F836BCE" w:rsidR="0021522E" w:rsidRPr="00977FA5" w:rsidRDefault="0021522E" w:rsidP="00090765">
      <w:pPr>
        <w:tabs>
          <w:tab w:val="left" w:pos="426"/>
        </w:tabs>
        <w:spacing w:line="360" w:lineRule="auto"/>
        <w:rPr>
          <w:rFonts w:ascii="Arial" w:hAnsi="Arial" w:cs="Arial"/>
          <w:sz w:val="22"/>
          <w:szCs w:val="22"/>
          <w:lang w:val="de-DE"/>
        </w:rPr>
      </w:pPr>
      <w:r w:rsidRPr="00977FA5">
        <w:rPr>
          <w:rFonts w:ascii="Arial" w:hAnsi="Arial" w:cs="Arial"/>
          <w:sz w:val="22"/>
          <w:szCs w:val="22"/>
          <w:lang w:val="de-DE"/>
        </w:rPr>
        <w:t>Für LD SE PERC Solarzellen wird beispielsweise ein einseitiger</w:t>
      </w:r>
      <w:r w:rsidR="008062C4" w:rsidRPr="00977FA5">
        <w:rPr>
          <w:rFonts w:ascii="Arial" w:hAnsi="Arial" w:cs="Arial"/>
          <w:sz w:val="22"/>
          <w:szCs w:val="22"/>
          <w:lang w:val="de-DE"/>
        </w:rPr>
        <w:t>,</w:t>
      </w:r>
      <w:r w:rsidRPr="00977FA5">
        <w:rPr>
          <w:rFonts w:ascii="Arial" w:hAnsi="Arial" w:cs="Arial"/>
          <w:sz w:val="22"/>
          <w:szCs w:val="22"/>
          <w:lang w:val="de-DE"/>
        </w:rPr>
        <w:t xml:space="preserve"> alkalischer </w:t>
      </w:r>
      <w:r w:rsidR="00AC32EE" w:rsidRPr="00977FA5">
        <w:rPr>
          <w:rFonts w:ascii="Arial" w:hAnsi="Arial" w:cs="Arial"/>
          <w:sz w:val="22"/>
          <w:szCs w:val="22"/>
          <w:lang w:val="de-DE"/>
        </w:rPr>
        <w:t>Ätz-</w:t>
      </w:r>
      <w:r w:rsidRPr="00977FA5">
        <w:rPr>
          <w:rFonts w:ascii="Arial" w:hAnsi="Arial" w:cs="Arial"/>
          <w:sz w:val="22"/>
          <w:szCs w:val="22"/>
          <w:lang w:val="de-DE"/>
        </w:rPr>
        <w:t>Schritt benötigt, um die elektrische Isolation sicherzustellen</w:t>
      </w:r>
      <w:r w:rsidR="00AC32EE" w:rsidRPr="00977FA5">
        <w:rPr>
          <w:rFonts w:ascii="Arial" w:hAnsi="Arial" w:cs="Arial"/>
          <w:sz w:val="22"/>
          <w:szCs w:val="22"/>
          <w:lang w:val="de-DE"/>
        </w:rPr>
        <w:t>.</w:t>
      </w:r>
      <w:r w:rsidRPr="00977FA5">
        <w:rPr>
          <w:rFonts w:ascii="Arial" w:hAnsi="Arial" w:cs="Arial"/>
          <w:sz w:val="22"/>
          <w:szCs w:val="22"/>
          <w:lang w:val="de-DE"/>
        </w:rPr>
        <w:t xml:space="preserve"> </w:t>
      </w:r>
      <w:r w:rsidR="008062C4" w:rsidRPr="00977FA5">
        <w:rPr>
          <w:rFonts w:ascii="Arial" w:hAnsi="Arial" w:cs="Arial"/>
          <w:sz w:val="22"/>
          <w:szCs w:val="22"/>
          <w:lang w:val="de-DE"/>
        </w:rPr>
        <w:t>Die</w:t>
      </w:r>
      <w:r w:rsidRPr="00977FA5">
        <w:rPr>
          <w:rFonts w:ascii="Arial" w:hAnsi="Arial" w:cs="Arial"/>
          <w:sz w:val="22"/>
          <w:szCs w:val="22"/>
          <w:lang w:val="de-DE"/>
        </w:rPr>
        <w:t xml:space="preserve"> PSG</w:t>
      </w:r>
      <w:r w:rsidR="008062C4" w:rsidRPr="00977FA5">
        <w:rPr>
          <w:rFonts w:ascii="Arial" w:hAnsi="Arial" w:cs="Arial"/>
          <w:sz w:val="22"/>
          <w:szCs w:val="22"/>
          <w:lang w:val="de-DE"/>
        </w:rPr>
        <w:t>-</w:t>
      </w:r>
      <w:r w:rsidRPr="00977FA5">
        <w:rPr>
          <w:rFonts w:ascii="Arial" w:hAnsi="Arial" w:cs="Arial"/>
          <w:sz w:val="22"/>
          <w:szCs w:val="22"/>
          <w:lang w:val="de-DE"/>
        </w:rPr>
        <w:t xml:space="preserve">Schicht, welche </w:t>
      </w:r>
      <w:r w:rsidR="008062C4" w:rsidRPr="00977FA5">
        <w:rPr>
          <w:rFonts w:ascii="Arial" w:hAnsi="Arial" w:cs="Arial"/>
          <w:sz w:val="22"/>
          <w:szCs w:val="22"/>
          <w:lang w:val="de-DE"/>
        </w:rPr>
        <w:t xml:space="preserve">bei Standard PERC Zellen </w:t>
      </w:r>
      <w:r w:rsidRPr="00977FA5">
        <w:rPr>
          <w:rFonts w:ascii="Arial" w:hAnsi="Arial" w:cs="Arial"/>
          <w:sz w:val="22"/>
          <w:szCs w:val="22"/>
          <w:lang w:val="de-DE"/>
        </w:rPr>
        <w:t xml:space="preserve">auch als Schutzschicht im </w:t>
      </w:r>
      <w:r w:rsidR="00AC32EE" w:rsidRPr="00977FA5">
        <w:rPr>
          <w:rFonts w:ascii="Arial" w:hAnsi="Arial" w:cs="Arial"/>
          <w:sz w:val="22"/>
          <w:szCs w:val="22"/>
          <w:lang w:val="de-DE"/>
        </w:rPr>
        <w:t xml:space="preserve">alkalischen </w:t>
      </w:r>
      <w:r w:rsidRPr="00977FA5">
        <w:rPr>
          <w:rFonts w:ascii="Arial" w:hAnsi="Arial" w:cs="Arial"/>
          <w:sz w:val="22"/>
          <w:szCs w:val="22"/>
          <w:lang w:val="de-DE"/>
        </w:rPr>
        <w:t xml:space="preserve">Tauchverfahren genutzt werden kann, </w:t>
      </w:r>
      <w:r w:rsidR="008062C4" w:rsidRPr="00977FA5">
        <w:rPr>
          <w:rFonts w:ascii="Arial" w:hAnsi="Arial" w:cs="Arial"/>
          <w:sz w:val="22"/>
          <w:szCs w:val="22"/>
          <w:lang w:val="de-DE"/>
        </w:rPr>
        <w:t xml:space="preserve">wird hier durch die Laserbehandlung partiell geschädigt und kann so den Emitter nicht mehr ausreichend vor </w:t>
      </w:r>
      <w:r w:rsidR="00AC32EE" w:rsidRPr="00977FA5">
        <w:rPr>
          <w:rFonts w:ascii="Arial" w:hAnsi="Arial" w:cs="Arial"/>
          <w:sz w:val="22"/>
          <w:szCs w:val="22"/>
          <w:lang w:val="de-DE"/>
        </w:rPr>
        <w:t>Angriffen</w:t>
      </w:r>
      <w:r w:rsidR="008062C4" w:rsidRPr="00977FA5">
        <w:rPr>
          <w:rFonts w:ascii="Arial" w:hAnsi="Arial" w:cs="Arial"/>
          <w:sz w:val="22"/>
          <w:szCs w:val="22"/>
          <w:lang w:val="de-DE"/>
        </w:rPr>
        <w:t xml:space="preserve"> durch das Ätzmedium schütz</w:t>
      </w:r>
      <w:r w:rsidR="00AC32EE" w:rsidRPr="00977FA5">
        <w:rPr>
          <w:rFonts w:ascii="Arial" w:hAnsi="Arial" w:cs="Arial"/>
          <w:sz w:val="22"/>
          <w:szCs w:val="22"/>
          <w:lang w:val="de-DE"/>
        </w:rPr>
        <w:t>en.</w:t>
      </w:r>
    </w:p>
    <w:p w14:paraId="317E07F8" w14:textId="3C656F20" w:rsidR="008062C4" w:rsidRPr="00977FA5" w:rsidRDefault="008062C4" w:rsidP="00090765">
      <w:pPr>
        <w:tabs>
          <w:tab w:val="left" w:pos="426"/>
        </w:tabs>
        <w:spacing w:line="360" w:lineRule="auto"/>
        <w:rPr>
          <w:rFonts w:ascii="Arial" w:hAnsi="Arial" w:cs="Arial"/>
          <w:sz w:val="22"/>
          <w:szCs w:val="22"/>
          <w:lang w:val="de-DE"/>
        </w:rPr>
      </w:pPr>
      <w:r w:rsidRPr="00977FA5">
        <w:rPr>
          <w:rFonts w:ascii="Arial" w:hAnsi="Arial" w:cs="Arial"/>
          <w:sz w:val="22"/>
          <w:szCs w:val="22"/>
          <w:lang w:val="de-DE"/>
        </w:rPr>
        <w:t xml:space="preserve">Werden </w:t>
      </w:r>
      <w:r w:rsidR="00E94368" w:rsidRPr="00977FA5">
        <w:rPr>
          <w:rFonts w:ascii="Arial" w:hAnsi="Arial" w:cs="Arial"/>
          <w:sz w:val="22"/>
          <w:szCs w:val="22"/>
          <w:lang w:val="de-DE"/>
        </w:rPr>
        <w:t xml:space="preserve">Solar </w:t>
      </w:r>
      <w:r w:rsidRPr="00977FA5">
        <w:rPr>
          <w:rFonts w:ascii="Arial" w:hAnsi="Arial" w:cs="Arial"/>
          <w:sz w:val="22"/>
          <w:szCs w:val="22"/>
          <w:lang w:val="de-DE"/>
        </w:rPr>
        <w:t xml:space="preserve">Zellen hergestellt, die passivierte Kontakte besitzen, kann die LINEX den kompletten Prozessfluss, der für die </w:t>
      </w:r>
      <w:r w:rsidR="00AC32EE" w:rsidRPr="00977FA5">
        <w:rPr>
          <w:rFonts w:ascii="Arial" w:hAnsi="Arial" w:cs="Arial"/>
          <w:sz w:val="22"/>
          <w:szCs w:val="22"/>
          <w:lang w:val="de-DE"/>
        </w:rPr>
        <w:t xml:space="preserve">alkalische, </w:t>
      </w:r>
      <w:r w:rsidRPr="00977FA5">
        <w:rPr>
          <w:rFonts w:ascii="Arial" w:hAnsi="Arial" w:cs="Arial"/>
          <w:sz w:val="22"/>
          <w:szCs w:val="22"/>
          <w:lang w:val="de-DE"/>
        </w:rPr>
        <w:t>chemische Kantenisolation</w:t>
      </w:r>
      <w:r w:rsidR="00F82C1B" w:rsidRPr="00977FA5">
        <w:rPr>
          <w:rFonts w:ascii="Arial" w:hAnsi="Arial" w:cs="Arial"/>
          <w:sz w:val="22"/>
          <w:szCs w:val="22"/>
          <w:lang w:val="de-DE"/>
        </w:rPr>
        <w:t>, BSG Entfernung</w:t>
      </w:r>
      <w:r w:rsidRPr="00977FA5">
        <w:rPr>
          <w:rFonts w:ascii="Arial" w:hAnsi="Arial" w:cs="Arial"/>
          <w:sz w:val="22"/>
          <w:szCs w:val="22"/>
          <w:lang w:val="de-DE"/>
        </w:rPr>
        <w:t xml:space="preserve"> und die Aufbringung eines nasschemischen Tunneloxids nötig ist, abbilden. </w:t>
      </w:r>
    </w:p>
    <w:p w14:paraId="259659DD" w14:textId="10533791" w:rsidR="00AC32EE" w:rsidRPr="00977FA5" w:rsidRDefault="00AC32EE" w:rsidP="00090765">
      <w:pPr>
        <w:tabs>
          <w:tab w:val="left" w:pos="426"/>
        </w:tabs>
        <w:spacing w:line="360" w:lineRule="auto"/>
        <w:rPr>
          <w:rFonts w:ascii="Arial" w:hAnsi="Arial" w:cs="Arial"/>
          <w:sz w:val="22"/>
          <w:szCs w:val="22"/>
          <w:lang w:val="de-DE"/>
        </w:rPr>
      </w:pPr>
      <w:r w:rsidRPr="00977FA5">
        <w:rPr>
          <w:rFonts w:ascii="Arial" w:hAnsi="Arial" w:cs="Arial"/>
          <w:sz w:val="22"/>
          <w:szCs w:val="22"/>
          <w:lang w:val="de-DE"/>
        </w:rPr>
        <w:t xml:space="preserve">Der alkalische Kantenisolationsprozess </w:t>
      </w:r>
      <w:r w:rsidR="00F82C1B" w:rsidRPr="00977FA5">
        <w:rPr>
          <w:rFonts w:ascii="Arial" w:hAnsi="Arial" w:cs="Arial"/>
          <w:sz w:val="22"/>
          <w:szCs w:val="22"/>
          <w:lang w:val="de-DE"/>
        </w:rPr>
        <w:t>bringt</w:t>
      </w:r>
      <w:r w:rsidRPr="00977FA5">
        <w:rPr>
          <w:rFonts w:ascii="Arial" w:hAnsi="Arial" w:cs="Arial"/>
          <w:sz w:val="22"/>
          <w:szCs w:val="22"/>
          <w:lang w:val="de-DE"/>
        </w:rPr>
        <w:t xml:space="preserve"> neben Prozess-relevanten Vorteilen, wie einer glatteren Wafer Rückseite, auch CAPEX Einsparungen durch </w:t>
      </w:r>
      <w:r w:rsidR="00E94368" w:rsidRPr="00977FA5">
        <w:rPr>
          <w:rFonts w:ascii="Arial" w:hAnsi="Arial" w:cs="Arial"/>
          <w:sz w:val="22"/>
          <w:szCs w:val="22"/>
          <w:lang w:val="de-DE"/>
        </w:rPr>
        <w:t>niedrigere</w:t>
      </w:r>
      <w:r w:rsidRPr="00977FA5">
        <w:rPr>
          <w:rFonts w:ascii="Arial" w:hAnsi="Arial" w:cs="Arial"/>
          <w:sz w:val="22"/>
          <w:szCs w:val="22"/>
          <w:lang w:val="de-DE"/>
        </w:rPr>
        <w:t xml:space="preserve"> Chemikalien</w:t>
      </w:r>
      <w:r w:rsidR="00E94368" w:rsidRPr="00977FA5">
        <w:rPr>
          <w:rFonts w:ascii="Arial" w:hAnsi="Arial" w:cs="Arial"/>
          <w:sz w:val="22"/>
          <w:szCs w:val="22"/>
          <w:lang w:val="de-DE"/>
        </w:rPr>
        <w:t>-Kosten und einen geringeren Aufwand für Abwasseraufbereitung.</w:t>
      </w:r>
      <w:r w:rsidRPr="00977FA5">
        <w:rPr>
          <w:rFonts w:ascii="Arial" w:hAnsi="Arial" w:cs="Arial"/>
          <w:sz w:val="22"/>
          <w:szCs w:val="22"/>
          <w:lang w:val="de-DE"/>
        </w:rPr>
        <w:t xml:space="preserve"> Zusätzlich haben diverse Anpassungen und Vereinfachungen der Hardware zu </w:t>
      </w:r>
      <w:r w:rsidR="00E94368" w:rsidRPr="00977FA5">
        <w:rPr>
          <w:rFonts w:ascii="Arial" w:hAnsi="Arial" w:cs="Arial"/>
          <w:sz w:val="22"/>
          <w:szCs w:val="22"/>
          <w:lang w:val="de-DE"/>
        </w:rPr>
        <w:t xml:space="preserve">einem Cost down der Investkosten geführt, welche die LINEX als Produktionsmaschine </w:t>
      </w:r>
      <w:r w:rsidR="00CC341A" w:rsidRPr="00977FA5">
        <w:rPr>
          <w:rFonts w:ascii="Arial" w:hAnsi="Arial" w:cs="Arial"/>
          <w:sz w:val="22"/>
          <w:szCs w:val="22"/>
          <w:lang w:val="de-DE"/>
        </w:rPr>
        <w:t xml:space="preserve">noch </w:t>
      </w:r>
      <w:r w:rsidR="00E94368" w:rsidRPr="00977FA5">
        <w:rPr>
          <w:rFonts w:ascii="Arial" w:hAnsi="Arial" w:cs="Arial"/>
          <w:sz w:val="22"/>
          <w:szCs w:val="22"/>
          <w:lang w:val="de-DE"/>
        </w:rPr>
        <w:t>attraktiv</w:t>
      </w:r>
      <w:r w:rsidR="00CC341A" w:rsidRPr="00977FA5">
        <w:rPr>
          <w:rFonts w:ascii="Arial" w:hAnsi="Arial" w:cs="Arial"/>
          <w:sz w:val="22"/>
          <w:szCs w:val="22"/>
          <w:lang w:val="de-DE"/>
        </w:rPr>
        <w:t>er</w:t>
      </w:r>
      <w:r w:rsidR="00E94368" w:rsidRPr="00977FA5">
        <w:rPr>
          <w:rFonts w:ascii="Arial" w:hAnsi="Arial" w:cs="Arial"/>
          <w:sz w:val="22"/>
          <w:szCs w:val="22"/>
          <w:lang w:val="de-DE"/>
        </w:rPr>
        <w:t xml:space="preserve"> machen. </w:t>
      </w:r>
    </w:p>
    <w:p w14:paraId="464A59F0" w14:textId="2D691877" w:rsidR="00BF77ED" w:rsidRPr="00977FA5" w:rsidRDefault="00BF77ED" w:rsidP="00090765">
      <w:pPr>
        <w:tabs>
          <w:tab w:val="left" w:pos="426"/>
        </w:tabs>
        <w:spacing w:line="360" w:lineRule="auto"/>
        <w:rPr>
          <w:rFonts w:ascii="Arial" w:hAnsi="Arial" w:cs="Arial"/>
          <w:sz w:val="22"/>
          <w:szCs w:val="22"/>
          <w:lang w:val="de-DE"/>
        </w:rPr>
      </w:pPr>
    </w:p>
    <w:p w14:paraId="33DC63A0" w14:textId="28E6B529" w:rsidR="00BF77ED" w:rsidRPr="00977FA5" w:rsidRDefault="00BF77ED" w:rsidP="00090765">
      <w:pPr>
        <w:tabs>
          <w:tab w:val="left" w:pos="426"/>
        </w:tabs>
        <w:rPr>
          <w:rFonts w:ascii="Arial" w:hAnsi="Arial" w:cs="Arial"/>
          <w:sz w:val="22"/>
          <w:szCs w:val="22"/>
          <w:lang w:val="de-DE"/>
        </w:rPr>
      </w:pPr>
    </w:p>
    <w:p w14:paraId="35C0BD09" w14:textId="3E20E5A0" w:rsidR="00BF77ED" w:rsidRPr="00977FA5" w:rsidRDefault="00BF77ED" w:rsidP="00090765">
      <w:pPr>
        <w:tabs>
          <w:tab w:val="left" w:pos="426"/>
        </w:tabs>
        <w:rPr>
          <w:rFonts w:ascii="Arial" w:hAnsi="Arial" w:cs="Arial"/>
          <w:sz w:val="22"/>
          <w:szCs w:val="22"/>
          <w:lang w:val="de-DE"/>
        </w:rPr>
      </w:pPr>
    </w:p>
    <w:p w14:paraId="0F15FF6C" w14:textId="59F492F9" w:rsidR="00BF77ED" w:rsidRPr="00977FA5" w:rsidRDefault="00BF77ED" w:rsidP="00090765">
      <w:pPr>
        <w:tabs>
          <w:tab w:val="left" w:pos="426"/>
        </w:tabs>
        <w:rPr>
          <w:rFonts w:ascii="Arial" w:hAnsi="Arial" w:cs="Arial"/>
          <w:sz w:val="22"/>
          <w:szCs w:val="22"/>
          <w:lang w:val="de-DE"/>
        </w:rPr>
      </w:pPr>
    </w:p>
    <w:p w14:paraId="16B731E7" w14:textId="0D021D6C" w:rsidR="00BF77ED" w:rsidRPr="00977FA5" w:rsidRDefault="00BF77ED" w:rsidP="00090765">
      <w:pPr>
        <w:tabs>
          <w:tab w:val="left" w:pos="426"/>
        </w:tabs>
        <w:rPr>
          <w:rFonts w:ascii="Arial" w:hAnsi="Arial" w:cs="Arial"/>
          <w:sz w:val="22"/>
          <w:szCs w:val="22"/>
          <w:lang w:val="de-DE"/>
        </w:rPr>
      </w:pPr>
    </w:p>
    <w:p w14:paraId="6DE2D2FF" w14:textId="31C579F2" w:rsidR="00BF77ED" w:rsidRDefault="00BF77ED" w:rsidP="00090765">
      <w:pPr>
        <w:tabs>
          <w:tab w:val="left" w:pos="426"/>
        </w:tabs>
        <w:rPr>
          <w:sz w:val="22"/>
          <w:szCs w:val="22"/>
          <w:lang w:val="de-DE"/>
        </w:rPr>
      </w:pPr>
    </w:p>
    <w:sectPr w:rsidR="00BF77ED" w:rsidSect="0023184A">
      <w:type w:val="continuous"/>
      <w:pgSz w:w="11906" w:h="16838" w:code="9"/>
      <w:pgMar w:top="1440" w:right="1418" w:bottom="1091" w:left="1134"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47BB0"/>
    <w:multiLevelType w:val="singleLevel"/>
    <w:tmpl w:val="ABC653BC"/>
    <w:lvl w:ilvl="0">
      <w:start w:val="1"/>
      <w:numFmt w:val="decimal"/>
      <w:lvlText w:val="（%1）"/>
      <w:lvlJc w:val="left"/>
      <w:pPr>
        <w:tabs>
          <w:tab w:val="num" w:pos="2250"/>
        </w:tabs>
        <w:ind w:left="2250" w:hanging="2250"/>
      </w:pPr>
      <w:rPr>
        <w:rFonts w:hint="eastAsia"/>
      </w:rPr>
    </w:lvl>
  </w:abstractNum>
  <w:abstractNum w:abstractNumId="1" w15:restartNumberingAfterBreak="0">
    <w:nsid w:val="400F441B"/>
    <w:multiLevelType w:val="singleLevel"/>
    <w:tmpl w:val="FFE4767A"/>
    <w:lvl w:ilvl="0">
      <w:start w:val="1"/>
      <w:numFmt w:val="decimal"/>
      <w:lvlText w:val="(%1)"/>
      <w:lvlJc w:val="left"/>
      <w:pPr>
        <w:tabs>
          <w:tab w:val="num" w:pos="360"/>
        </w:tabs>
        <w:ind w:left="360" w:hanging="360"/>
      </w:pPr>
      <w:rPr>
        <w:rFonts w:hint="default"/>
      </w:rPr>
    </w:lvl>
  </w:abstractNum>
  <w:abstractNum w:abstractNumId="2" w15:restartNumberingAfterBreak="0">
    <w:nsid w:val="46B13564"/>
    <w:multiLevelType w:val="hybridMultilevel"/>
    <w:tmpl w:val="1ADA7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812494"/>
    <w:multiLevelType w:val="hybridMultilevel"/>
    <w:tmpl w:val="08307F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D992058"/>
    <w:multiLevelType w:val="singleLevel"/>
    <w:tmpl w:val="B30A11CC"/>
    <w:lvl w:ilvl="0">
      <w:start w:val="1"/>
      <w:numFmt w:val="decimal"/>
      <w:lvlText w:val="%1"/>
      <w:lvlJc w:val="left"/>
      <w:pPr>
        <w:tabs>
          <w:tab w:val="num" w:pos="360"/>
        </w:tabs>
        <w:ind w:left="360" w:hanging="360"/>
      </w:pPr>
      <w:rPr>
        <w:rFonts w:hint="eastAsia"/>
      </w:rPr>
    </w:lvl>
  </w:abstractNum>
  <w:abstractNum w:abstractNumId="5" w15:restartNumberingAfterBreak="0">
    <w:nsid w:val="5B367372"/>
    <w:multiLevelType w:val="singleLevel"/>
    <w:tmpl w:val="A5CC10DE"/>
    <w:lvl w:ilvl="0">
      <w:start w:val="1"/>
      <w:numFmt w:val="decimal"/>
      <w:lvlText w:val="%1"/>
      <w:lvlJc w:val="left"/>
      <w:pPr>
        <w:tabs>
          <w:tab w:val="num" w:pos="720"/>
        </w:tabs>
        <w:ind w:left="720" w:hanging="720"/>
      </w:pPr>
      <w:rPr>
        <w:rFonts w:hint="default"/>
      </w:rPr>
    </w:lvl>
  </w:abstractNum>
  <w:abstractNum w:abstractNumId="6" w15:restartNumberingAfterBreak="0">
    <w:nsid w:val="5D585211"/>
    <w:multiLevelType w:val="singleLevel"/>
    <w:tmpl w:val="13B0CD40"/>
    <w:lvl w:ilvl="0">
      <w:start w:val="1"/>
      <w:numFmt w:val="decimal"/>
      <w:lvlText w:val="%1."/>
      <w:lvlJc w:val="left"/>
      <w:pPr>
        <w:tabs>
          <w:tab w:val="num" w:pos="975"/>
        </w:tabs>
        <w:ind w:left="975" w:hanging="975"/>
      </w:pPr>
      <w:rPr>
        <w:rFonts w:hint="eastAsia"/>
      </w:rPr>
    </w:lvl>
  </w:abstractNum>
  <w:abstractNum w:abstractNumId="7" w15:restartNumberingAfterBreak="0">
    <w:nsid w:val="7E013449"/>
    <w:multiLevelType w:val="hybridMultilevel"/>
    <w:tmpl w:val="0690FF88"/>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4"/>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05"/>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F9B"/>
    <w:rsid w:val="000074B9"/>
    <w:rsid w:val="000120B7"/>
    <w:rsid w:val="00021ECD"/>
    <w:rsid w:val="00047425"/>
    <w:rsid w:val="00065EEA"/>
    <w:rsid w:val="00080F9B"/>
    <w:rsid w:val="00090765"/>
    <w:rsid w:val="000C3812"/>
    <w:rsid w:val="000D7A6B"/>
    <w:rsid w:val="00105140"/>
    <w:rsid w:val="001218DF"/>
    <w:rsid w:val="0013028E"/>
    <w:rsid w:val="00136451"/>
    <w:rsid w:val="00137982"/>
    <w:rsid w:val="00143BFF"/>
    <w:rsid w:val="001508B1"/>
    <w:rsid w:val="001538D5"/>
    <w:rsid w:val="0016235C"/>
    <w:rsid w:val="00163D1C"/>
    <w:rsid w:val="00164D08"/>
    <w:rsid w:val="00165F0C"/>
    <w:rsid w:val="00177221"/>
    <w:rsid w:val="001B5909"/>
    <w:rsid w:val="001C3EAB"/>
    <w:rsid w:val="001C496D"/>
    <w:rsid w:val="001F13BF"/>
    <w:rsid w:val="001F318A"/>
    <w:rsid w:val="00200AEA"/>
    <w:rsid w:val="002035FB"/>
    <w:rsid w:val="0021522E"/>
    <w:rsid w:val="0023184A"/>
    <w:rsid w:val="00233FF8"/>
    <w:rsid w:val="00241D75"/>
    <w:rsid w:val="00281B99"/>
    <w:rsid w:val="002841BE"/>
    <w:rsid w:val="00297E57"/>
    <w:rsid w:val="002A49EA"/>
    <w:rsid w:val="002C2B98"/>
    <w:rsid w:val="002D1810"/>
    <w:rsid w:val="002D78B6"/>
    <w:rsid w:val="00301553"/>
    <w:rsid w:val="0032702A"/>
    <w:rsid w:val="00336DE0"/>
    <w:rsid w:val="00353BF1"/>
    <w:rsid w:val="0036336F"/>
    <w:rsid w:val="00376903"/>
    <w:rsid w:val="003925D6"/>
    <w:rsid w:val="00397C3E"/>
    <w:rsid w:val="003A043B"/>
    <w:rsid w:val="003A3224"/>
    <w:rsid w:val="003C4AE2"/>
    <w:rsid w:val="003D1841"/>
    <w:rsid w:val="003D2782"/>
    <w:rsid w:val="003D75A3"/>
    <w:rsid w:val="003E2014"/>
    <w:rsid w:val="003E756D"/>
    <w:rsid w:val="004131D7"/>
    <w:rsid w:val="00440AEB"/>
    <w:rsid w:val="00444787"/>
    <w:rsid w:val="004567D0"/>
    <w:rsid w:val="00462BA1"/>
    <w:rsid w:val="00466544"/>
    <w:rsid w:val="00472738"/>
    <w:rsid w:val="00495DBC"/>
    <w:rsid w:val="00497A0D"/>
    <w:rsid w:val="004A158C"/>
    <w:rsid w:val="004A6159"/>
    <w:rsid w:val="004C1607"/>
    <w:rsid w:val="004C16C1"/>
    <w:rsid w:val="004D0130"/>
    <w:rsid w:val="004E6449"/>
    <w:rsid w:val="005163AE"/>
    <w:rsid w:val="00517974"/>
    <w:rsid w:val="00533BCC"/>
    <w:rsid w:val="00564E00"/>
    <w:rsid w:val="005B770A"/>
    <w:rsid w:val="005C6B98"/>
    <w:rsid w:val="005D342E"/>
    <w:rsid w:val="00607674"/>
    <w:rsid w:val="00610BC2"/>
    <w:rsid w:val="006176FF"/>
    <w:rsid w:val="00636C28"/>
    <w:rsid w:val="006772B4"/>
    <w:rsid w:val="006876B1"/>
    <w:rsid w:val="00695E02"/>
    <w:rsid w:val="006F07FC"/>
    <w:rsid w:val="007115D9"/>
    <w:rsid w:val="0071534A"/>
    <w:rsid w:val="00715F36"/>
    <w:rsid w:val="0072475D"/>
    <w:rsid w:val="00732D06"/>
    <w:rsid w:val="00734C8B"/>
    <w:rsid w:val="007606BB"/>
    <w:rsid w:val="007773FE"/>
    <w:rsid w:val="0079248F"/>
    <w:rsid w:val="00794058"/>
    <w:rsid w:val="007D4685"/>
    <w:rsid w:val="007E5C8B"/>
    <w:rsid w:val="008062C4"/>
    <w:rsid w:val="0081733E"/>
    <w:rsid w:val="00821F16"/>
    <w:rsid w:val="00826445"/>
    <w:rsid w:val="00833E70"/>
    <w:rsid w:val="00834D2A"/>
    <w:rsid w:val="00851179"/>
    <w:rsid w:val="0085204C"/>
    <w:rsid w:val="008704B4"/>
    <w:rsid w:val="00896D2F"/>
    <w:rsid w:val="008D255A"/>
    <w:rsid w:val="008F0EA4"/>
    <w:rsid w:val="0092728F"/>
    <w:rsid w:val="009558CD"/>
    <w:rsid w:val="00957E69"/>
    <w:rsid w:val="009702C5"/>
    <w:rsid w:val="00977FA5"/>
    <w:rsid w:val="00995280"/>
    <w:rsid w:val="009A327A"/>
    <w:rsid w:val="009B460F"/>
    <w:rsid w:val="009B4996"/>
    <w:rsid w:val="009C23E9"/>
    <w:rsid w:val="009D10C5"/>
    <w:rsid w:val="009E31DA"/>
    <w:rsid w:val="009F345E"/>
    <w:rsid w:val="009F3C16"/>
    <w:rsid w:val="00A1071B"/>
    <w:rsid w:val="00A23C48"/>
    <w:rsid w:val="00A30FF5"/>
    <w:rsid w:val="00A6663B"/>
    <w:rsid w:val="00A66CF4"/>
    <w:rsid w:val="00A752B3"/>
    <w:rsid w:val="00AC32EE"/>
    <w:rsid w:val="00AE694C"/>
    <w:rsid w:val="00AE6C02"/>
    <w:rsid w:val="00B05288"/>
    <w:rsid w:val="00B17D06"/>
    <w:rsid w:val="00B42FB2"/>
    <w:rsid w:val="00B441A2"/>
    <w:rsid w:val="00B54EEC"/>
    <w:rsid w:val="00B5521F"/>
    <w:rsid w:val="00B76860"/>
    <w:rsid w:val="00B94F5E"/>
    <w:rsid w:val="00BA5117"/>
    <w:rsid w:val="00BB7A12"/>
    <w:rsid w:val="00BD0AD3"/>
    <w:rsid w:val="00BE234B"/>
    <w:rsid w:val="00BF2264"/>
    <w:rsid w:val="00BF3538"/>
    <w:rsid w:val="00BF37BD"/>
    <w:rsid w:val="00BF7268"/>
    <w:rsid w:val="00BF77ED"/>
    <w:rsid w:val="00BF7B23"/>
    <w:rsid w:val="00C13A02"/>
    <w:rsid w:val="00C16817"/>
    <w:rsid w:val="00C272E8"/>
    <w:rsid w:val="00C52863"/>
    <w:rsid w:val="00C65D7D"/>
    <w:rsid w:val="00C70AED"/>
    <w:rsid w:val="00C925EB"/>
    <w:rsid w:val="00C928CD"/>
    <w:rsid w:val="00C93D13"/>
    <w:rsid w:val="00C96498"/>
    <w:rsid w:val="00C97D01"/>
    <w:rsid w:val="00CC341A"/>
    <w:rsid w:val="00CD177E"/>
    <w:rsid w:val="00CD6DF6"/>
    <w:rsid w:val="00D066B0"/>
    <w:rsid w:val="00D07372"/>
    <w:rsid w:val="00D14049"/>
    <w:rsid w:val="00D56C63"/>
    <w:rsid w:val="00D57891"/>
    <w:rsid w:val="00D641AD"/>
    <w:rsid w:val="00D80F34"/>
    <w:rsid w:val="00D86B30"/>
    <w:rsid w:val="00D876D2"/>
    <w:rsid w:val="00DA60C0"/>
    <w:rsid w:val="00DB1AB1"/>
    <w:rsid w:val="00DC49EB"/>
    <w:rsid w:val="00E17D82"/>
    <w:rsid w:val="00E370B0"/>
    <w:rsid w:val="00E442A1"/>
    <w:rsid w:val="00E5071F"/>
    <w:rsid w:val="00E5226F"/>
    <w:rsid w:val="00E534BC"/>
    <w:rsid w:val="00E55CC5"/>
    <w:rsid w:val="00E664C9"/>
    <w:rsid w:val="00E66F19"/>
    <w:rsid w:val="00E70F6A"/>
    <w:rsid w:val="00E76548"/>
    <w:rsid w:val="00E81BE0"/>
    <w:rsid w:val="00E94368"/>
    <w:rsid w:val="00E97E47"/>
    <w:rsid w:val="00EA1B57"/>
    <w:rsid w:val="00EB3C58"/>
    <w:rsid w:val="00EC4671"/>
    <w:rsid w:val="00EE5E89"/>
    <w:rsid w:val="00EF1AD0"/>
    <w:rsid w:val="00F20508"/>
    <w:rsid w:val="00F3183E"/>
    <w:rsid w:val="00F359E5"/>
    <w:rsid w:val="00F65C3B"/>
    <w:rsid w:val="00F67FE5"/>
    <w:rsid w:val="00F71777"/>
    <w:rsid w:val="00F7327C"/>
    <w:rsid w:val="00F7620C"/>
    <w:rsid w:val="00F82C1B"/>
    <w:rsid w:val="00F83F26"/>
    <w:rsid w:val="00F84B83"/>
    <w:rsid w:val="00FA65C1"/>
    <w:rsid w:val="00FC120E"/>
    <w:rsid w:val="00FC3F8F"/>
    <w:rsid w:val="00FD4A71"/>
    <w:rsid w:val="00FD6C4B"/>
    <w:rsid w:val="00FF5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A04936"/>
  <w15:docId w15:val="{1DEF900B-254F-4226-BD30-BD7E267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widowControl w:val="0"/>
      <w:jc w:val="both"/>
    </w:pPr>
    <w:rPr>
      <w:kern w:val="2"/>
      <w:sz w:val="21"/>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TPTitle">
    <w:name w:val="TTP Title"/>
    <w:basedOn w:val="Standard"/>
    <w:next w:val="TTPAuthors"/>
    <w:rsid w:val="000120B7"/>
    <w:pPr>
      <w:widowControl/>
      <w:autoSpaceDE w:val="0"/>
      <w:autoSpaceDN w:val="0"/>
      <w:spacing w:after="120"/>
      <w:jc w:val="center"/>
    </w:pPr>
    <w:rPr>
      <w:rFonts w:ascii="Arial" w:hAnsi="Arial" w:cs="Arial"/>
      <w:b/>
      <w:bCs/>
      <w:kern w:val="0"/>
      <w:sz w:val="30"/>
      <w:szCs w:val="30"/>
      <w:lang w:eastAsia="en-US"/>
    </w:rPr>
  </w:style>
  <w:style w:type="paragraph" w:customStyle="1" w:styleId="TTPAuthors">
    <w:name w:val="TTP Author(s)"/>
    <w:basedOn w:val="Standard"/>
    <w:next w:val="TTPAddress"/>
    <w:rsid w:val="000120B7"/>
    <w:pPr>
      <w:widowControl/>
      <w:autoSpaceDE w:val="0"/>
      <w:autoSpaceDN w:val="0"/>
      <w:spacing w:before="120"/>
      <w:jc w:val="center"/>
    </w:pPr>
    <w:rPr>
      <w:rFonts w:ascii="Arial" w:hAnsi="Arial" w:cs="Arial"/>
      <w:kern w:val="0"/>
      <w:sz w:val="28"/>
      <w:szCs w:val="28"/>
      <w:lang w:eastAsia="en-US"/>
    </w:rPr>
  </w:style>
  <w:style w:type="paragraph" w:customStyle="1" w:styleId="TTPAddress">
    <w:name w:val="TTP Address"/>
    <w:basedOn w:val="Standard"/>
    <w:rsid w:val="000120B7"/>
    <w:pPr>
      <w:widowControl/>
      <w:autoSpaceDE w:val="0"/>
      <w:autoSpaceDN w:val="0"/>
      <w:spacing w:before="120"/>
      <w:jc w:val="center"/>
    </w:pPr>
    <w:rPr>
      <w:rFonts w:ascii="Arial" w:hAnsi="Arial" w:cs="Arial"/>
      <w:kern w:val="0"/>
      <w:sz w:val="22"/>
      <w:szCs w:val="22"/>
      <w:lang w:eastAsia="en-US"/>
    </w:rPr>
  </w:style>
  <w:style w:type="paragraph" w:customStyle="1" w:styleId="TTPParagraph1st">
    <w:name w:val="TTP Paragraph (1st)"/>
    <w:basedOn w:val="Standard"/>
    <w:next w:val="Standard"/>
    <w:rsid w:val="00533BCC"/>
    <w:pPr>
      <w:widowControl/>
      <w:autoSpaceDE w:val="0"/>
      <w:autoSpaceDN w:val="0"/>
    </w:pPr>
    <w:rPr>
      <w:kern w:val="0"/>
      <w:sz w:val="24"/>
      <w:szCs w:val="24"/>
      <w:lang w:eastAsia="en-US"/>
    </w:rPr>
  </w:style>
  <w:style w:type="paragraph" w:customStyle="1" w:styleId="TTPParagraphothers">
    <w:name w:val="TTP Paragraph (others)"/>
    <w:basedOn w:val="TTPParagraph1st"/>
    <w:rsid w:val="00533BCC"/>
    <w:pPr>
      <w:ind w:firstLine="283"/>
    </w:pPr>
  </w:style>
  <w:style w:type="paragraph" w:customStyle="1" w:styleId="TTPEquation">
    <w:name w:val="TTP Equation"/>
    <w:basedOn w:val="Standard"/>
    <w:next w:val="TTPParagraph1st"/>
    <w:rsid w:val="00533BCC"/>
    <w:pPr>
      <w:widowControl/>
      <w:tabs>
        <w:tab w:val="right" w:pos="9923"/>
      </w:tabs>
      <w:autoSpaceDE w:val="0"/>
      <w:autoSpaceDN w:val="0"/>
      <w:spacing w:before="240" w:after="240"/>
      <w:ind w:left="284" w:right="-11"/>
    </w:pPr>
    <w:rPr>
      <w:kern w:val="0"/>
      <w:sz w:val="24"/>
      <w:szCs w:val="24"/>
      <w:lang w:val="de-DE" w:eastAsia="en-US"/>
    </w:rPr>
  </w:style>
  <w:style w:type="paragraph" w:customStyle="1" w:styleId="TTPSectionHeading">
    <w:name w:val="TTP Section Heading"/>
    <w:basedOn w:val="Standard"/>
    <w:next w:val="TTPParagraph1st"/>
    <w:rsid w:val="00D56C63"/>
    <w:pPr>
      <w:widowControl/>
      <w:autoSpaceDE w:val="0"/>
      <w:autoSpaceDN w:val="0"/>
      <w:spacing w:before="360" w:after="120"/>
    </w:pPr>
    <w:rPr>
      <w:b/>
      <w:bCs/>
      <w:kern w:val="0"/>
      <w:sz w:val="24"/>
      <w:szCs w:val="24"/>
      <w:lang w:eastAsia="en-US"/>
    </w:rPr>
  </w:style>
  <w:style w:type="paragraph" w:customStyle="1" w:styleId="TTPReference">
    <w:name w:val="TTP Reference"/>
    <w:basedOn w:val="Standard"/>
    <w:rsid w:val="00D56C63"/>
    <w:pPr>
      <w:widowControl/>
      <w:tabs>
        <w:tab w:val="left" w:pos="426"/>
      </w:tabs>
      <w:autoSpaceDE w:val="0"/>
      <w:autoSpaceDN w:val="0"/>
      <w:spacing w:after="120" w:line="288" w:lineRule="atLeast"/>
    </w:pPr>
    <w:rPr>
      <w:kern w:val="0"/>
      <w:sz w:val="24"/>
      <w:szCs w:val="24"/>
      <w:lang w:val="de-DE" w:eastAsia="en-US"/>
    </w:rPr>
  </w:style>
  <w:style w:type="character" w:styleId="Hyperlink">
    <w:name w:val="Hyperlink"/>
    <w:basedOn w:val="Absatz-Standardschriftart"/>
    <w:rsid w:val="00D56C63"/>
    <w:rPr>
      <w:color w:val="0000FF"/>
      <w:u w:val="single"/>
    </w:rPr>
  </w:style>
  <w:style w:type="paragraph" w:customStyle="1" w:styleId="AbstracttemplateCSPV">
    <w:name w:val="Abstract template CSPV"/>
    <w:basedOn w:val="Standard"/>
    <w:link w:val="AbstracttemplateCSPVZchn"/>
    <w:qFormat/>
    <w:rsid w:val="00D07372"/>
    <w:pPr>
      <w:widowControl/>
      <w:spacing w:after="200" w:line="360" w:lineRule="auto"/>
      <w:ind w:firstLineChars="100" w:firstLine="240"/>
    </w:pPr>
    <w:rPr>
      <w:kern w:val="0"/>
      <w:sz w:val="24"/>
      <w:szCs w:val="24"/>
      <w:lang w:eastAsia="en-US"/>
    </w:rPr>
  </w:style>
  <w:style w:type="character" w:customStyle="1" w:styleId="AbstracttemplateCSPVZchn">
    <w:name w:val="Abstract template CSPV Zchn"/>
    <w:basedOn w:val="Absatz-Standardschriftart"/>
    <w:link w:val="AbstracttemplateCSPV"/>
    <w:rsid w:val="00D07372"/>
    <w:rPr>
      <w:sz w:val="24"/>
      <w:szCs w:val="24"/>
      <w:lang w:val="en-US" w:eastAsia="en-US"/>
    </w:rPr>
  </w:style>
  <w:style w:type="paragraph" w:styleId="Sprechblasentext">
    <w:name w:val="Balloon Text"/>
    <w:basedOn w:val="Standard"/>
    <w:link w:val="SprechblasentextZchn"/>
    <w:rsid w:val="00BF7B23"/>
    <w:rPr>
      <w:rFonts w:ascii="Segoe UI" w:hAnsi="Segoe UI" w:cs="Segoe UI"/>
      <w:sz w:val="18"/>
      <w:szCs w:val="18"/>
    </w:rPr>
  </w:style>
  <w:style w:type="character" w:customStyle="1" w:styleId="SprechblasentextZchn">
    <w:name w:val="Sprechblasentext Zchn"/>
    <w:basedOn w:val="Absatz-Standardschriftart"/>
    <w:link w:val="Sprechblasentext"/>
    <w:rsid w:val="00BF7B23"/>
    <w:rPr>
      <w:rFonts w:ascii="Segoe UI" w:hAnsi="Segoe UI" w:cs="Segoe UI"/>
      <w:kern w:val="2"/>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6605E849E0550489A250B5BC2DF6EF9" ma:contentTypeVersion="4" ma:contentTypeDescription="Create a new document." ma:contentTypeScope="" ma:versionID="8f211b448dc16cd62b9620b81a7b400a">
  <xsd:schema xmlns:xsd="http://www.w3.org/2001/XMLSchema" xmlns:xs="http://www.w3.org/2001/XMLSchema" xmlns:p="http://schemas.microsoft.com/office/2006/metadata/properties" xmlns:ns3="7bcb4b6c-08b3-4a9e-83e1-7faf93bff38d" targetNamespace="http://schemas.microsoft.com/office/2006/metadata/properties" ma:root="true" ma:fieldsID="3dcf9461df6d25dd6aae66c8df59dc6e" ns3:_="">
    <xsd:import namespace="7bcb4b6c-08b3-4a9e-83e1-7faf93bff3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cb4b6c-08b3-4a9e-83e1-7faf93bff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225CED-C11A-4E97-9B5C-365E22ED5A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D1A19E-1D3D-4BFA-8D8D-F649BE393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cb4b6c-08b3-4a9e-83e1-7faf93bff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8718C4-4E0B-445F-8898-46064A4F01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3295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Entwurf SNEC</vt:lpstr>
    </vt:vector>
  </TitlesOfParts>
  <Company>Singulus</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SNEC</dc:title>
  <dc:subject>Abstract Produktpräsentation Messe</dc:subject>
  <dc:creator>Helge Haverkamp</dc:creator>
  <cp:lastModifiedBy>Bianca Wattenberg</cp:lastModifiedBy>
  <cp:revision>6</cp:revision>
  <dcterms:created xsi:type="dcterms:W3CDTF">2020-01-24T11:12:00Z</dcterms:created>
  <dcterms:modified xsi:type="dcterms:W3CDTF">2020-01-24T11:35:00Z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0x01010046605E849E0550489A250B5BC2DF6EF9</vt:lpwstr>
  </property>
</Properties>
</file>